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A9C80" w14:textId="4902C811" w:rsidR="00465D16" w:rsidRPr="000A1397" w:rsidRDefault="006D5719" w:rsidP="00D46E68">
      <w:pPr>
        <w:jc w:val="center"/>
        <w:rPr>
          <w:rFonts w:ascii="Calibri" w:hAnsi="Calibri" w:cs="Calibri"/>
          <w:b/>
          <w:sz w:val="28"/>
          <w:szCs w:val="28"/>
        </w:rPr>
      </w:pPr>
      <w:r w:rsidRPr="000A1397">
        <w:rPr>
          <w:rFonts w:ascii="Calibri" w:hAnsi="Calibri" w:cs="Calibri"/>
          <w:b/>
          <w:bCs/>
          <w:sz w:val="28"/>
          <w:szCs w:val="28"/>
        </w:rPr>
        <w:t>M</w:t>
      </w:r>
      <w:r w:rsidR="00725388" w:rsidRPr="000A1397">
        <w:rPr>
          <w:rFonts w:ascii="Calibri" w:hAnsi="Calibri" w:cs="Calibri"/>
          <w:b/>
          <w:bCs/>
          <w:sz w:val="28"/>
          <w:szCs w:val="28"/>
        </w:rPr>
        <w:t>ateria</w:t>
      </w:r>
      <w:r w:rsidR="00852A43" w:rsidRPr="000A1397">
        <w:rPr>
          <w:rFonts w:ascii="Calibri" w:hAnsi="Calibri" w:cs="Calibri"/>
          <w:b/>
          <w:bCs/>
          <w:sz w:val="28"/>
          <w:szCs w:val="28"/>
        </w:rPr>
        <w:t>l transpo</w:t>
      </w:r>
      <w:r w:rsidR="00DF5EA2" w:rsidRPr="000A1397">
        <w:rPr>
          <w:rFonts w:ascii="Calibri" w:hAnsi="Calibri" w:cs="Calibri"/>
          <w:b/>
          <w:bCs/>
          <w:sz w:val="28"/>
          <w:szCs w:val="28"/>
        </w:rPr>
        <w:t>rt</w:t>
      </w:r>
      <w:r w:rsidR="008E3324" w:rsidRPr="000A1397">
        <w:rPr>
          <w:rFonts w:ascii="Calibri" w:hAnsi="Calibri" w:cs="Calibri"/>
          <w:b/>
          <w:bCs/>
          <w:sz w:val="28"/>
          <w:szCs w:val="28"/>
        </w:rPr>
        <w:t xml:space="preserve">ation </w:t>
      </w:r>
      <w:r w:rsidR="00B45B80" w:rsidRPr="000A1397">
        <w:rPr>
          <w:rFonts w:ascii="Calibri" w:hAnsi="Calibri" w:cs="Calibri"/>
          <w:b/>
          <w:bCs/>
          <w:sz w:val="28"/>
          <w:szCs w:val="28"/>
        </w:rPr>
        <w:t>a</w:t>
      </w:r>
      <w:r w:rsidR="00ED646F" w:rsidRPr="000A1397">
        <w:rPr>
          <w:rFonts w:ascii="Calibri" w:hAnsi="Calibri" w:cs="Calibri"/>
          <w:b/>
          <w:sz w:val="28"/>
          <w:szCs w:val="28"/>
        </w:rPr>
        <w:t xml:space="preserve">utomation investment increases as it becomes </w:t>
      </w:r>
      <w:r w:rsidR="002E157F" w:rsidRPr="000A1397">
        <w:rPr>
          <w:rFonts w:ascii="Calibri" w:hAnsi="Calibri" w:cs="Calibri"/>
          <w:b/>
          <w:bCs/>
          <w:sz w:val="28"/>
          <w:szCs w:val="28"/>
        </w:rPr>
        <w:t xml:space="preserve">the </w:t>
      </w:r>
      <w:r w:rsidR="00ED646F" w:rsidRPr="000A1397">
        <w:rPr>
          <w:rFonts w:ascii="Calibri" w:hAnsi="Calibri" w:cs="Calibri"/>
          <w:b/>
          <w:sz w:val="28"/>
          <w:szCs w:val="28"/>
        </w:rPr>
        <w:t xml:space="preserve">top strategic priority </w:t>
      </w:r>
    </w:p>
    <w:p w14:paraId="4E1F46E9" w14:textId="6461B002" w:rsidR="000D7E08" w:rsidRPr="000A1397" w:rsidRDefault="00597922" w:rsidP="00D46E68">
      <w:pPr>
        <w:pStyle w:val="ListParagraph"/>
        <w:numPr>
          <w:ilvl w:val="0"/>
          <w:numId w:val="2"/>
        </w:numPr>
        <w:rPr>
          <w:rFonts w:ascii="Calibri" w:hAnsi="Calibri" w:cs="Calibri"/>
          <w:b/>
        </w:rPr>
      </w:pPr>
      <w:r w:rsidRPr="000A1397">
        <w:rPr>
          <w:rFonts w:ascii="Calibri" w:hAnsi="Calibri" w:cs="Calibri"/>
          <w:b/>
          <w:bCs/>
        </w:rPr>
        <w:t>A</w:t>
      </w:r>
      <w:r w:rsidR="0052473D" w:rsidRPr="000A1397">
        <w:rPr>
          <w:rFonts w:ascii="Calibri" w:hAnsi="Calibri" w:cs="Calibri"/>
          <w:b/>
          <w:bCs/>
        </w:rPr>
        <w:t>utomation</w:t>
      </w:r>
      <w:r w:rsidR="0052473D" w:rsidRPr="000A1397">
        <w:rPr>
          <w:rFonts w:ascii="Calibri" w:hAnsi="Calibri" w:cs="Calibri"/>
          <w:b/>
        </w:rPr>
        <w:t xml:space="preserve"> </w:t>
      </w:r>
      <w:proofErr w:type="spellStart"/>
      <w:r w:rsidR="0052473D" w:rsidRPr="000A1397">
        <w:rPr>
          <w:rFonts w:ascii="Calibri" w:hAnsi="Calibri" w:cs="Calibri"/>
          <w:b/>
        </w:rPr>
        <w:t>CapE</w:t>
      </w:r>
      <w:r w:rsidR="00DE4DDB">
        <w:rPr>
          <w:rFonts w:ascii="Calibri" w:hAnsi="Calibri" w:cs="Calibri"/>
          <w:b/>
        </w:rPr>
        <w:t>x</w:t>
      </w:r>
      <w:proofErr w:type="spellEnd"/>
      <w:r w:rsidR="0052473D" w:rsidRPr="000A1397">
        <w:rPr>
          <w:rFonts w:ascii="Calibri" w:hAnsi="Calibri" w:cs="Calibri"/>
          <w:b/>
        </w:rPr>
        <w:t xml:space="preserve"> </w:t>
      </w:r>
      <w:r w:rsidR="006511C4" w:rsidRPr="000A1397">
        <w:rPr>
          <w:rFonts w:ascii="Calibri" w:hAnsi="Calibri" w:cs="Calibri"/>
          <w:b/>
          <w:bCs/>
        </w:rPr>
        <w:t>set</w:t>
      </w:r>
      <w:r w:rsidR="004F2A1C" w:rsidRPr="000A1397">
        <w:rPr>
          <w:rFonts w:ascii="Calibri" w:hAnsi="Calibri" w:cs="Calibri"/>
          <w:b/>
          <w:bCs/>
        </w:rPr>
        <w:t xml:space="preserve"> to </w:t>
      </w:r>
      <w:r w:rsidR="00D12510" w:rsidRPr="000A1397">
        <w:rPr>
          <w:rFonts w:ascii="Calibri" w:hAnsi="Calibri" w:cs="Calibri"/>
          <w:b/>
          <w:bCs/>
        </w:rPr>
        <w:t xml:space="preserve">increase </w:t>
      </w:r>
      <w:r w:rsidR="00731FB7">
        <w:rPr>
          <w:rFonts w:ascii="Calibri" w:hAnsi="Calibri" w:cs="Calibri"/>
          <w:b/>
          <w:bCs/>
        </w:rPr>
        <w:t>in</w:t>
      </w:r>
      <w:r w:rsidR="0052473D" w:rsidRPr="000A1397">
        <w:rPr>
          <w:rFonts w:ascii="Calibri" w:hAnsi="Calibri" w:cs="Calibri"/>
          <w:b/>
        </w:rPr>
        <w:t xml:space="preserve"> 2026</w:t>
      </w:r>
    </w:p>
    <w:p w14:paraId="588D42AA" w14:textId="4C9FC6F9" w:rsidR="000D7E08" w:rsidRPr="000A1397" w:rsidRDefault="0052473D" w:rsidP="00D46E68">
      <w:pPr>
        <w:pStyle w:val="ListParagraph"/>
        <w:numPr>
          <w:ilvl w:val="0"/>
          <w:numId w:val="2"/>
        </w:numPr>
        <w:rPr>
          <w:rFonts w:ascii="Calibri" w:hAnsi="Calibri" w:cs="Calibri"/>
          <w:b/>
        </w:rPr>
      </w:pPr>
      <w:r w:rsidRPr="000A1397">
        <w:rPr>
          <w:rFonts w:ascii="Calibri" w:hAnsi="Calibri" w:cs="Calibri"/>
          <w:b/>
        </w:rPr>
        <w:t xml:space="preserve">Americas &amp; Europe </w:t>
      </w:r>
      <w:proofErr w:type="gramStart"/>
      <w:r w:rsidRPr="000A1397">
        <w:rPr>
          <w:rFonts w:ascii="Calibri" w:hAnsi="Calibri" w:cs="Calibri"/>
          <w:b/>
        </w:rPr>
        <w:t>most</w:t>
      </w:r>
      <w:proofErr w:type="gramEnd"/>
      <w:r w:rsidRPr="000A1397">
        <w:rPr>
          <w:rFonts w:ascii="Calibri" w:hAnsi="Calibri" w:cs="Calibri"/>
          <w:b/>
        </w:rPr>
        <w:t xml:space="preserve"> optimistic</w:t>
      </w:r>
      <w:r w:rsidR="00E66DE7" w:rsidRPr="000A1397">
        <w:rPr>
          <w:rFonts w:ascii="Calibri" w:hAnsi="Calibri" w:cs="Calibri"/>
          <w:b/>
          <w:bCs/>
        </w:rPr>
        <w:t>, w</w:t>
      </w:r>
      <w:r w:rsidR="003A3988" w:rsidRPr="000A1397">
        <w:rPr>
          <w:rFonts w:ascii="Calibri" w:hAnsi="Calibri" w:cs="Calibri"/>
          <w:b/>
          <w:bCs/>
        </w:rPr>
        <w:t>hile</w:t>
      </w:r>
      <w:r w:rsidRPr="000A1397">
        <w:rPr>
          <w:rFonts w:ascii="Calibri" w:hAnsi="Calibri" w:cs="Calibri"/>
          <w:b/>
        </w:rPr>
        <w:t xml:space="preserve"> APAC </w:t>
      </w:r>
      <w:r w:rsidR="00AA352F" w:rsidRPr="000A1397">
        <w:rPr>
          <w:rFonts w:ascii="Calibri" w:hAnsi="Calibri" w:cs="Calibri"/>
          <w:b/>
          <w:bCs/>
        </w:rPr>
        <w:t xml:space="preserve">region </w:t>
      </w:r>
      <w:proofErr w:type="gramStart"/>
      <w:r w:rsidR="00AA352F" w:rsidRPr="000A1397">
        <w:rPr>
          <w:rFonts w:ascii="Calibri" w:hAnsi="Calibri" w:cs="Calibri"/>
          <w:b/>
          <w:bCs/>
        </w:rPr>
        <w:t>s</w:t>
      </w:r>
      <w:r w:rsidR="00EA1CF8" w:rsidRPr="000A1397">
        <w:rPr>
          <w:rFonts w:ascii="Calibri" w:hAnsi="Calibri" w:cs="Calibri"/>
          <w:b/>
          <w:bCs/>
        </w:rPr>
        <w:t>tag</w:t>
      </w:r>
      <w:r w:rsidR="007672CA" w:rsidRPr="000A1397">
        <w:rPr>
          <w:rFonts w:ascii="Calibri" w:hAnsi="Calibri" w:cs="Calibri"/>
          <w:b/>
          <w:bCs/>
        </w:rPr>
        <w:t>nating</w:t>
      </w:r>
      <w:proofErr w:type="gramEnd"/>
    </w:p>
    <w:p w14:paraId="5F503845" w14:textId="27F84C55" w:rsidR="000D7E08" w:rsidRPr="000A1397" w:rsidRDefault="0052473D" w:rsidP="00D46E68">
      <w:pPr>
        <w:pStyle w:val="ListParagraph"/>
        <w:numPr>
          <w:ilvl w:val="0"/>
          <w:numId w:val="2"/>
        </w:numPr>
        <w:rPr>
          <w:rFonts w:ascii="Calibri" w:hAnsi="Calibri" w:cs="Calibri"/>
          <w:b/>
        </w:rPr>
      </w:pPr>
      <w:r w:rsidRPr="000A1397">
        <w:rPr>
          <w:rFonts w:ascii="Calibri" w:hAnsi="Calibri" w:cs="Calibri"/>
          <w:b/>
        </w:rPr>
        <w:t>Integration complexities are a bigger barrier than cost</w:t>
      </w:r>
    </w:p>
    <w:p w14:paraId="42EE1CF3" w14:textId="391472C5" w:rsidR="00636AFC" w:rsidRDefault="000D7E08" w:rsidP="000D7E08">
      <w:pPr>
        <w:rPr>
          <w:rFonts w:ascii="Calibri" w:hAnsi="Calibri" w:cs="Calibri"/>
        </w:rPr>
      </w:pPr>
      <w:r w:rsidRPr="000A1397">
        <w:rPr>
          <w:rFonts w:ascii="Calibri" w:hAnsi="Calibri" w:cs="Calibri"/>
          <w:b/>
        </w:rPr>
        <w:t xml:space="preserve">London, </w:t>
      </w:r>
      <w:r w:rsidR="00580AB4" w:rsidRPr="00580AB4">
        <w:rPr>
          <w:rFonts w:ascii="Calibri" w:hAnsi="Calibri" w:cs="Calibri"/>
          <w:b/>
          <w:color w:val="000000" w:themeColor="text1"/>
        </w:rPr>
        <w:t>26th</w:t>
      </w:r>
      <w:r w:rsidRPr="000A1397">
        <w:rPr>
          <w:rFonts w:ascii="Calibri" w:hAnsi="Calibri" w:cs="Calibri"/>
          <w:b/>
          <w:color w:val="EE0000"/>
        </w:rPr>
        <w:t xml:space="preserve"> </w:t>
      </w:r>
      <w:r w:rsidR="00580AB4">
        <w:rPr>
          <w:rFonts w:ascii="Calibri" w:hAnsi="Calibri" w:cs="Calibri"/>
          <w:b/>
        </w:rPr>
        <w:t>June</w:t>
      </w:r>
      <w:r w:rsidRPr="000A1397">
        <w:rPr>
          <w:rFonts w:ascii="Calibri" w:hAnsi="Calibri" w:cs="Calibri"/>
          <w:b/>
        </w:rPr>
        <w:t xml:space="preserve"> 2026</w:t>
      </w:r>
      <w:r w:rsidRPr="000A1397">
        <w:rPr>
          <w:rFonts w:ascii="Calibri" w:hAnsi="Calibri" w:cs="Calibri"/>
        </w:rPr>
        <w:t xml:space="preserve"> –</w:t>
      </w:r>
      <w:r w:rsidR="00B8630E" w:rsidRPr="000A1397">
        <w:rPr>
          <w:rFonts w:ascii="Calibri" w:hAnsi="Calibri" w:cs="Calibri"/>
        </w:rPr>
        <w:t xml:space="preserve"> G</w:t>
      </w:r>
      <w:r w:rsidR="00864252" w:rsidRPr="000A1397">
        <w:rPr>
          <w:rFonts w:ascii="Calibri" w:hAnsi="Calibri" w:cs="Calibri"/>
        </w:rPr>
        <w:t xml:space="preserve">rowth momentum </w:t>
      </w:r>
      <w:r w:rsidR="00E30AE4" w:rsidRPr="000A1397">
        <w:rPr>
          <w:rFonts w:ascii="Calibri" w:hAnsi="Calibri" w:cs="Calibri"/>
        </w:rPr>
        <w:t>amon</w:t>
      </w:r>
      <w:r w:rsidR="005A2D03" w:rsidRPr="000A1397">
        <w:rPr>
          <w:rFonts w:ascii="Calibri" w:hAnsi="Calibri" w:cs="Calibri"/>
        </w:rPr>
        <w:t xml:space="preserve">g </w:t>
      </w:r>
      <w:r w:rsidR="00FF7466">
        <w:rPr>
          <w:rFonts w:ascii="Calibri" w:hAnsi="Calibri" w:cs="Calibri"/>
        </w:rPr>
        <w:t>customers to automate their</w:t>
      </w:r>
      <w:r w:rsidR="009C341D" w:rsidRPr="000A1397">
        <w:rPr>
          <w:rFonts w:ascii="Calibri" w:hAnsi="Calibri" w:cs="Calibri"/>
        </w:rPr>
        <w:t xml:space="preserve"> </w:t>
      </w:r>
      <w:r w:rsidR="00B66DBB" w:rsidRPr="000A1397">
        <w:rPr>
          <w:rFonts w:ascii="Calibri" w:hAnsi="Calibri" w:cs="Calibri"/>
        </w:rPr>
        <w:t>mater</w:t>
      </w:r>
      <w:r w:rsidR="00701127" w:rsidRPr="000A1397">
        <w:rPr>
          <w:rFonts w:ascii="Calibri" w:hAnsi="Calibri" w:cs="Calibri"/>
        </w:rPr>
        <w:t>ial t</w:t>
      </w:r>
      <w:r w:rsidR="0084344A" w:rsidRPr="000A1397">
        <w:rPr>
          <w:rFonts w:ascii="Calibri" w:hAnsi="Calibri" w:cs="Calibri"/>
        </w:rPr>
        <w:t>ranspo</w:t>
      </w:r>
      <w:r w:rsidR="00593F42" w:rsidRPr="000A1397">
        <w:rPr>
          <w:rFonts w:ascii="Calibri" w:hAnsi="Calibri" w:cs="Calibri"/>
        </w:rPr>
        <w:t>rtation</w:t>
      </w:r>
      <w:r w:rsidR="00580731" w:rsidRPr="000A1397">
        <w:rPr>
          <w:rFonts w:ascii="Calibri" w:hAnsi="Calibri" w:cs="Calibri"/>
        </w:rPr>
        <w:t xml:space="preserve"> </w:t>
      </w:r>
      <w:r w:rsidR="00864252" w:rsidRPr="000A1397">
        <w:rPr>
          <w:rFonts w:ascii="Calibri" w:hAnsi="Calibri" w:cs="Calibri"/>
        </w:rPr>
        <w:t>is accelerating in 2026</w:t>
      </w:r>
      <w:r w:rsidR="006E6419" w:rsidRPr="000A1397">
        <w:rPr>
          <w:rFonts w:ascii="Calibri" w:hAnsi="Calibri" w:cs="Calibri"/>
        </w:rPr>
        <w:t>,</w:t>
      </w:r>
      <w:r w:rsidR="00864252" w:rsidRPr="000A1397">
        <w:rPr>
          <w:rFonts w:ascii="Calibri" w:hAnsi="Calibri" w:cs="Calibri"/>
        </w:rPr>
        <w:t xml:space="preserve"> with automation spend and capital expenditure </w:t>
      </w:r>
      <w:r w:rsidR="00394A53" w:rsidRPr="000A1397">
        <w:rPr>
          <w:rFonts w:ascii="Calibri" w:hAnsi="Calibri" w:cs="Calibri"/>
        </w:rPr>
        <w:t>(</w:t>
      </w:r>
      <w:proofErr w:type="spellStart"/>
      <w:r w:rsidR="00394A53" w:rsidRPr="000A1397">
        <w:rPr>
          <w:rFonts w:ascii="Calibri" w:hAnsi="Calibri" w:cs="Calibri"/>
        </w:rPr>
        <w:t>Cap</w:t>
      </w:r>
      <w:r w:rsidR="005E114B" w:rsidRPr="000A1397">
        <w:rPr>
          <w:rFonts w:ascii="Calibri" w:hAnsi="Calibri" w:cs="Calibri"/>
        </w:rPr>
        <w:t>E</w:t>
      </w:r>
      <w:r w:rsidR="0071381E" w:rsidRPr="000A1397">
        <w:rPr>
          <w:rFonts w:ascii="Calibri" w:hAnsi="Calibri" w:cs="Calibri"/>
        </w:rPr>
        <w:t>x</w:t>
      </w:r>
      <w:proofErr w:type="spellEnd"/>
      <w:r w:rsidR="00C17F90" w:rsidRPr="000A1397">
        <w:rPr>
          <w:rFonts w:ascii="Calibri" w:hAnsi="Calibri" w:cs="Calibri"/>
        </w:rPr>
        <w:t>)</w:t>
      </w:r>
      <w:r w:rsidR="00864252" w:rsidRPr="000A1397">
        <w:rPr>
          <w:rFonts w:ascii="Calibri" w:hAnsi="Calibri" w:cs="Calibri"/>
        </w:rPr>
        <w:t xml:space="preserve"> increasing from</w:t>
      </w:r>
      <w:r w:rsidR="00D46E68" w:rsidRPr="000A1397">
        <w:rPr>
          <w:rFonts w:ascii="Calibri" w:hAnsi="Calibri" w:cs="Calibri"/>
        </w:rPr>
        <w:t xml:space="preserve"> </w:t>
      </w:r>
      <w:r w:rsidR="006C7080" w:rsidRPr="000A1397">
        <w:rPr>
          <w:rFonts w:ascii="Calibri" w:hAnsi="Calibri" w:cs="Calibri"/>
        </w:rPr>
        <w:t>2025</w:t>
      </w:r>
      <w:r w:rsidR="00894514" w:rsidRPr="000A1397">
        <w:rPr>
          <w:rFonts w:ascii="Calibri" w:hAnsi="Calibri" w:cs="Calibri"/>
        </w:rPr>
        <w:t xml:space="preserve">, </w:t>
      </w:r>
      <w:r w:rsidR="00BF11A3" w:rsidRPr="000A1397">
        <w:rPr>
          <w:rFonts w:ascii="Calibri" w:hAnsi="Calibri" w:cs="Calibri"/>
        </w:rPr>
        <w:t>a</w:t>
      </w:r>
      <w:r w:rsidR="00894514" w:rsidRPr="000A1397">
        <w:rPr>
          <w:rFonts w:ascii="Calibri" w:hAnsi="Calibri" w:cs="Calibri"/>
        </w:rPr>
        <w:t>ccording to the latest research by Interact Analysis</w:t>
      </w:r>
      <w:r w:rsidR="00477D76" w:rsidRPr="000A1397">
        <w:rPr>
          <w:rFonts w:ascii="Calibri" w:hAnsi="Calibri" w:cs="Calibri"/>
        </w:rPr>
        <w:t>.</w:t>
      </w:r>
      <w:r w:rsidR="00864252" w:rsidRPr="000A1397">
        <w:rPr>
          <w:rFonts w:ascii="Calibri" w:hAnsi="Calibri" w:cs="Calibri"/>
        </w:rPr>
        <w:t xml:space="preserve"> </w:t>
      </w:r>
      <w:r w:rsidR="003149EF">
        <w:rPr>
          <w:rFonts w:ascii="Calibri" w:hAnsi="Calibri" w:cs="Calibri"/>
        </w:rPr>
        <w:t>Companies</w:t>
      </w:r>
      <w:r w:rsidR="00864252">
        <w:rPr>
          <w:rFonts w:ascii="Calibri" w:hAnsi="Calibri" w:cs="Calibri"/>
        </w:rPr>
        <w:t xml:space="preserve"> </w:t>
      </w:r>
      <w:r w:rsidR="00864252" w:rsidRPr="000A1397">
        <w:rPr>
          <w:rFonts w:ascii="Calibri" w:hAnsi="Calibri" w:cs="Calibri"/>
        </w:rPr>
        <w:t xml:space="preserve">saw orders increase and anticipate a </w:t>
      </w:r>
      <w:r w:rsidR="003149EF" w:rsidRPr="000A1397">
        <w:rPr>
          <w:rFonts w:ascii="Calibri" w:hAnsi="Calibri" w:cs="Calibri"/>
        </w:rPr>
        <w:t>larger rise in 2026</w:t>
      </w:r>
      <w:r w:rsidR="003149EF">
        <w:rPr>
          <w:rFonts w:ascii="Calibri" w:hAnsi="Calibri" w:cs="Calibri"/>
        </w:rPr>
        <w:t>, with this order growth</w:t>
      </w:r>
      <w:r w:rsidR="003149EF" w:rsidRPr="000A1397">
        <w:rPr>
          <w:rFonts w:ascii="Calibri" w:hAnsi="Calibri" w:cs="Calibri"/>
        </w:rPr>
        <w:t xml:space="preserve"> unlocking positive momentum throughout the value chain.</w:t>
      </w:r>
      <w:r w:rsidR="003149EF">
        <w:rPr>
          <w:rFonts w:ascii="Calibri" w:hAnsi="Calibri" w:cs="Calibri"/>
        </w:rPr>
        <w:t xml:space="preserve"> </w:t>
      </w:r>
      <w:r w:rsidR="00940011">
        <w:rPr>
          <w:rFonts w:ascii="Calibri" w:hAnsi="Calibri" w:cs="Calibri"/>
        </w:rPr>
        <w:t>H</w:t>
      </w:r>
      <w:r w:rsidR="006E5731">
        <w:rPr>
          <w:rFonts w:ascii="Calibri" w:hAnsi="Calibri" w:cs="Calibri"/>
        </w:rPr>
        <w:t>owever</w:t>
      </w:r>
      <w:r w:rsidR="001B60A0">
        <w:rPr>
          <w:rFonts w:ascii="Calibri" w:hAnsi="Calibri" w:cs="Calibri"/>
        </w:rPr>
        <w:t>,</w:t>
      </w:r>
      <w:r w:rsidR="0038385F">
        <w:rPr>
          <w:rFonts w:ascii="Calibri" w:hAnsi="Calibri" w:cs="Calibri"/>
        </w:rPr>
        <w:t xml:space="preserve"> r</w:t>
      </w:r>
      <w:r w:rsidR="00864252" w:rsidRPr="000A1397">
        <w:rPr>
          <w:rFonts w:ascii="Calibri" w:hAnsi="Calibri" w:cs="Calibri"/>
        </w:rPr>
        <w:t xml:space="preserve">espondents </w:t>
      </w:r>
      <w:r w:rsidR="00EA1C32" w:rsidRPr="000A1397">
        <w:rPr>
          <w:rFonts w:ascii="Calibri" w:hAnsi="Calibri" w:cs="Calibri"/>
        </w:rPr>
        <w:t>to t</w:t>
      </w:r>
      <w:r w:rsidR="00A829E4" w:rsidRPr="000A1397">
        <w:rPr>
          <w:rFonts w:ascii="Calibri" w:hAnsi="Calibri" w:cs="Calibri"/>
        </w:rPr>
        <w:t xml:space="preserve">he </w:t>
      </w:r>
      <w:r w:rsidR="00523CAA" w:rsidRPr="000A1397">
        <w:rPr>
          <w:rFonts w:ascii="Calibri" w:hAnsi="Calibri" w:cs="Calibri"/>
        </w:rPr>
        <w:t>market i</w:t>
      </w:r>
      <w:r w:rsidR="00987AC0" w:rsidRPr="000A1397">
        <w:rPr>
          <w:rFonts w:ascii="Calibri" w:hAnsi="Calibri" w:cs="Calibri"/>
        </w:rPr>
        <w:t>ntellige</w:t>
      </w:r>
      <w:r w:rsidR="00420219" w:rsidRPr="000A1397">
        <w:rPr>
          <w:rFonts w:ascii="Calibri" w:hAnsi="Calibri" w:cs="Calibri"/>
        </w:rPr>
        <w:t>nce compan</w:t>
      </w:r>
      <w:r w:rsidR="00AD183C" w:rsidRPr="000A1397">
        <w:rPr>
          <w:rFonts w:ascii="Calibri" w:hAnsi="Calibri" w:cs="Calibri"/>
        </w:rPr>
        <w:t xml:space="preserve">y’s Voice of Market </w:t>
      </w:r>
      <w:r w:rsidR="005F798C" w:rsidRPr="000A1397">
        <w:rPr>
          <w:rFonts w:ascii="Calibri" w:hAnsi="Calibri" w:cs="Calibri"/>
        </w:rPr>
        <w:t>surve</w:t>
      </w:r>
      <w:r w:rsidR="00815316" w:rsidRPr="000A1397">
        <w:rPr>
          <w:rFonts w:ascii="Calibri" w:hAnsi="Calibri" w:cs="Calibri"/>
        </w:rPr>
        <w:t xml:space="preserve">y </w:t>
      </w:r>
      <w:r w:rsidR="001A529B">
        <w:rPr>
          <w:rFonts w:ascii="Calibri" w:hAnsi="Calibri" w:cs="Calibri"/>
        </w:rPr>
        <w:t xml:space="preserve">cited </w:t>
      </w:r>
      <w:r w:rsidR="008119AC">
        <w:rPr>
          <w:rFonts w:ascii="Calibri" w:hAnsi="Calibri" w:cs="Calibri"/>
        </w:rPr>
        <w:t>integr</w:t>
      </w:r>
      <w:r w:rsidR="00105A09">
        <w:rPr>
          <w:rFonts w:ascii="Calibri" w:hAnsi="Calibri" w:cs="Calibri"/>
        </w:rPr>
        <w:t>atio</w:t>
      </w:r>
      <w:r w:rsidR="00D8415E">
        <w:rPr>
          <w:rFonts w:ascii="Calibri" w:hAnsi="Calibri" w:cs="Calibri"/>
        </w:rPr>
        <w:t>n complex</w:t>
      </w:r>
      <w:r w:rsidR="004579E2">
        <w:rPr>
          <w:rFonts w:ascii="Calibri" w:hAnsi="Calibri" w:cs="Calibri"/>
        </w:rPr>
        <w:t>ities as</w:t>
      </w:r>
      <w:r w:rsidR="00D1595F">
        <w:rPr>
          <w:rFonts w:ascii="Calibri" w:hAnsi="Calibri" w:cs="Calibri"/>
        </w:rPr>
        <w:t xml:space="preserve"> </w:t>
      </w:r>
      <w:r w:rsidR="00460FFF">
        <w:rPr>
          <w:rFonts w:ascii="Calibri" w:hAnsi="Calibri" w:cs="Calibri"/>
        </w:rPr>
        <w:t xml:space="preserve">the biggest barrier to adopting more automation technology. </w:t>
      </w:r>
    </w:p>
    <w:p w14:paraId="772537FC" w14:textId="4C083C5B" w:rsidR="000D7E08" w:rsidRPr="000A1397" w:rsidRDefault="005849EE" w:rsidP="000D7E08">
      <w:pPr>
        <w:rPr>
          <w:rFonts w:ascii="Calibri" w:hAnsi="Calibri" w:cs="Calibri"/>
          <w:b/>
        </w:rPr>
      </w:pPr>
      <w:r w:rsidRPr="000A1397">
        <w:rPr>
          <w:rFonts w:ascii="Calibri" w:hAnsi="Calibri" w:cs="Calibri"/>
          <w:b/>
        </w:rPr>
        <w:t xml:space="preserve">Integration complexity is a bigger barrier than </w:t>
      </w:r>
      <w:r w:rsidR="0052473D" w:rsidRPr="000A1397">
        <w:rPr>
          <w:rFonts w:ascii="Calibri" w:hAnsi="Calibri" w:cs="Calibri"/>
          <w:b/>
        </w:rPr>
        <w:t>costs</w:t>
      </w:r>
    </w:p>
    <w:p w14:paraId="1D8880EA" w14:textId="0A478062" w:rsidR="005849EE" w:rsidRPr="000A1397" w:rsidRDefault="005849EE" w:rsidP="000D7E08">
      <w:pPr>
        <w:rPr>
          <w:rFonts w:ascii="Calibri" w:hAnsi="Calibri" w:cs="Calibri"/>
        </w:rPr>
      </w:pPr>
      <w:r w:rsidRPr="000A1397">
        <w:rPr>
          <w:rFonts w:ascii="Calibri" w:hAnsi="Calibri" w:cs="Calibri"/>
        </w:rPr>
        <w:t xml:space="preserve">Research as part of the market study found that 45% </w:t>
      </w:r>
      <w:r w:rsidR="00192145">
        <w:rPr>
          <w:rFonts w:ascii="Calibri" w:hAnsi="Calibri" w:cs="Calibri"/>
        </w:rPr>
        <w:t xml:space="preserve">of </w:t>
      </w:r>
      <w:r w:rsidRPr="000A1397">
        <w:rPr>
          <w:rFonts w:ascii="Calibri" w:hAnsi="Calibri" w:cs="Calibri"/>
        </w:rPr>
        <w:t>interviewees found integration complexities</w:t>
      </w:r>
      <w:r w:rsidR="00CF093B">
        <w:rPr>
          <w:rFonts w:ascii="Calibri" w:hAnsi="Calibri" w:cs="Calibri"/>
        </w:rPr>
        <w:t>,</w:t>
      </w:r>
      <w:r w:rsidRPr="000A1397">
        <w:rPr>
          <w:rFonts w:ascii="Calibri" w:hAnsi="Calibri" w:cs="Calibri"/>
        </w:rPr>
        <w:t xml:space="preserve"> </w:t>
      </w:r>
      <w:r w:rsidR="004A52BE">
        <w:rPr>
          <w:rFonts w:ascii="Calibri" w:hAnsi="Calibri" w:cs="Calibri"/>
        </w:rPr>
        <w:t>rather than financial constraints</w:t>
      </w:r>
      <w:r w:rsidR="00CF093B">
        <w:rPr>
          <w:rFonts w:ascii="Calibri" w:hAnsi="Calibri" w:cs="Calibri"/>
        </w:rPr>
        <w:t>,</w:t>
      </w:r>
      <w:r w:rsidR="004A52BE">
        <w:rPr>
          <w:rFonts w:ascii="Calibri" w:hAnsi="Calibri" w:cs="Calibri"/>
        </w:rPr>
        <w:t xml:space="preserve"> </w:t>
      </w:r>
      <w:r w:rsidR="00CF093B">
        <w:rPr>
          <w:rFonts w:ascii="Calibri" w:hAnsi="Calibri" w:cs="Calibri"/>
        </w:rPr>
        <w:t>are</w:t>
      </w:r>
      <w:r w:rsidRPr="000A1397">
        <w:rPr>
          <w:rFonts w:ascii="Calibri" w:hAnsi="Calibri" w:cs="Calibri"/>
        </w:rPr>
        <w:t xml:space="preserve"> the biggest barrier to adoption of more </w:t>
      </w:r>
      <w:r w:rsidR="00CF093B">
        <w:rPr>
          <w:rFonts w:ascii="Calibri" w:hAnsi="Calibri" w:cs="Calibri"/>
        </w:rPr>
        <w:t xml:space="preserve">material transportation </w:t>
      </w:r>
      <w:r w:rsidRPr="000A1397">
        <w:rPr>
          <w:rFonts w:ascii="Calibri" w:hAnsi="Calibri" w:cs="Calibri"/>
        </w:rPr>
        <w:t>automation/technology. This is ahead of high upfront costs (</w:t>
      </w:r>
      <w:r w:rsidR="0052473D" w:rsidRPr="000A1397">
        <w:rPr>
          <w:rFonts w:ascii="Calibri" w:hAnsi="Calibri" w:cs="Calibri"/>
        </w:rPr>
        <w:t xml:space="preserve">41%) and budget limitations (38%). It </w:t>
      </w:r>
      <w:r w:rsidR="00CF093B">
        <w:rPr>
          <w:rFonts w:ascii="Calibri" w:hAnsi="Calibri" w:cs="Calibri"/>
        </w:rPr>
        <w:t>is also</w:t>
      </w:r>
      <w:r w:rsidR="0052473D" w:rsidRPr="000A1397">
        <w:rPr>
          <w:rFonts w:ascii="Calibri" w:hAnsi="Calibri" w:cs="Calibri"/>
        </w:rPr>
        <w:t xml:space="preserve"> apparent that lack of </w:t>
      </w:r>
      <w:proofErr w:type="gramStart"/>
      <w:r w:rsidR="0052473D" w:rsidRPr="000A1397">
        <w:rPr>
          <w:rFonts w:ascii="Calibri" w:hAnsi="Calibri" w:cs="Calibri"/>
        </w:rPr>
        <w:t>capable</w:t>
      </w:r>
      <w:proofErr w:type="gramEnd"/>
      <w:r w:rsidR="0052473D" w:rsidRPr="000A1397">
        <w:rPr>
          <w:rFonts w:ascii="Calibri" w:hAnsi="Calibri" w:cs="Calibri"/>
        </w:rPr>
        <w:t xml:space="preserve"> (35%) and clear vision (25%) are also significant </w:t>
      </w:r>
      <w:r w:rsidR="00CF093B">
        <w:rPr>
          <w:rFonts w:ascii="Calibri" w:hAnsi="Calibri" w:cs="Calibri"/>
        </w:rPr>
        <w:t>challenges</w:t>
      </w:r>
      <w:r w:rsidR="0052473D" w:rsidRPr="000A1397">
        <w:rPr>
          <w:rFonts w:ascii="Calibri" w:hAnsi="Calibri" w:cs="Calibri"/>
        </w:rPr>
        <w:t>.</w:t>
      </w:r>
    </w:p>
    <w:p w14:paraId="5E8A1A1F" w14:textId="6FD46F78" w:rsidR="0052473D" w:rsidRPr="000A1397" w:rsidRDefault="0052473D" w:rsidP="000D7E08">
      <w:pPr>
        <w:rPr>
          <w:rFonts w:ascii="Calibri" w:hAnsi="Calibri" w:cs="Calibri"/>
        </w:rPr>
      </w:pPr>
      <w:r w:rsidRPr="000A1397">
        <w:rPr>
          <w:rFonts w:ascii="Calibri" w:hAnsi="Calibri" w:cs="Calibri"/>
        </w:rPr>
        <w:t>Throug</w:t>
      </w:r>
      <w:r w:rsidR="00300121">
        <w:rPr>
          <w:rFonts w:ascii="Calibri" w:hAnsi="Calibri" w:cs="Calibri"/>
        </w:rPr>
        <w:t>h</w:t>
      </w:r>
      <w:r w:rsidRPr="000A1397">
        <w:rPr>
          <w:rFonts w:ascii="Calibri" w:hAnsi="Calibri" w:cs="Calibri"/>
        </w:rPr>
        <w:t xml:space="preserve"> the research, it </w:t>
      </w:r>
      <w:r w:rsidR="00300121">
        <w:rPr>
          <w:rFonts w:ascii="Calibri" w:hAnsi="Calibri" w:cs="Calibri"/>
        </w:rPr>
        <w:t xml:space="preserve">is </w:t>
      </w:r>
      <w:r w:rsidRPr="000A1397">
        <w:rPr>
          <w:rFonts w:ascii="Calibri" w:hAnsi="Calibri" w:cs="Calibri"/>
        </w:rPr>
        <w:t>apparent that companies are adopting phased rollout strategies to integrate automation into their systems. Many companies are starting with processes that need minimal WMS integration</w:t>
      </w:r>
      <w:r w:rsidR="00E16EB3">
        <w:rPr>
          <w:rFonts w:ascii="Calibri" w:hAnsi="Calibri" w:cs="Calibri"/>
        </w:rPr>
        <w:t xml:space="preserve"> </w:t>
      </w:r>
      <w:proofErr w:type="gramStart"/>
      <w:r w:rsidR="00E16EB3">
        <w:rPr>
          <w:rFonts w:ascii="Calibri" w:hAnsi="Calibri" w:cs="Calibri"/>
        </w:rPr>
        <w:t>in order to</w:t>
      </w:r>
      <w:proofErr w:type="gramEnd"/>
      <w:r w:rsidR="00E16EB3">
        <w:rPr>
          <w:rFonts w:ascii="Calibri" w:hAnsi="Calibri" w:cs="Calibri"/>
        </w:rPr>
        <w:t xml:space="preserve"> simplify deployment.</w:t>
      </w:r>
    </w:p>
    <w:p w14:paraId="550F8892" w14:textId="3CC85C05" w:rsidR="00D46E68" w:rsidRPr="000A1397" w:rsidRDefault="00D46E68" w:rsidP="00DE4DDB">
      <w:pPr>
        <w:jc w:val="center"/>
        <w:rPr>
          <w:rFonts w:ascii="Calibri" w:hAnsi="Calibri" w:cs="Calibri"/>
        </w:rPr>
      </w:pPr>
      <w:r w:rsidRPr="000A1397">
        <w:rPr>
          <w:rFonts w:ascii="Calibri" w:hAnsi="Calibri" w:cs="Calibri"/>
          <w:noProof/>
        </w:rPr>
        <w:drawing>
          <wp:inline distT="0" distB="0" distL="0" distR="0" wp14:anchorId="6D7F0F05" wp14:editId="5D4EBA74">
            <wp:extent cx="3898900" cy="2537043"/>
            <wp:effectExtent l="0" t="0" r="6350" b="0"/>
            <wp:docPr id="100216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68588" name=""/>
                    <pic:cNvPicPr/>
                  </pic:nvPicPr>
                  <pic:blipFill>
                    <a:blip r:embed="rId8"/>
                    <a:stretch>
                      <a:fillRect/>
                    </a:stretch>
                  </pic:blipFill>
                  <pic:spPr>
                    <a:xfrm>
                      <a:off x="0" y="0"/>
                      <a:ext cx="3939963" cy="2563763"/>
                    </a:xfrm>
                    <a:prstGeom prst="rect">
                      <a:avLst/>
                    </a:prstGeom>
                  </pic:spPr>
                </pic:pic>
              </a:graphicData>
            </a:graphic>
          </wp:inline>
        </w:drawing>
      </w:r>
    </w:p>
    <w:p w14:paraId="110DFD36" w14:textId="7A8E2353" w:rsidR="004241A6" w:rsidRPr="00DE4DDB" w:rsidRDefault="001E4FEA" w:rsidP="00DE4DDB">
      <w:pPr>
        <w:jc w:val="center"/>
        <w:rPr>
          <w:rFonts w:ascii="Calibri" w:hAnsi="Calibri" w:cs="Calibri"/>
          <w:i/>
          <w:iCs/>
        </w:rPr>
      </w:pPr>
      <w:r w:rsidRPr="00DE4DDB">
        <w:rPr>
          <w:rFonts w:ascii="Calibri" w:hAnsi="Calibri" w:cs="Calibri"/>
          <w:i/>
          <w:iCs/>
        </w:rPr>
        <w:t>Integration complexity rather than initial cost is the largest barrier to investment in material transportation automation and technology</w:t>
      </w:r>
    </w:p>
    <w:p w14:paraId="1D93796B" w14:textId="2FB01892" w:rsidR="003149EF" w:rsidRPr="00DE4DDB" w:rsidRDefault="003149EF" w:rsidP="000D7E08">
      <w:pPr>
        <w:rPr>
          <w:rFonts w:ascii="Calibri" w:hAnsi="Calibri" w:cs="Calibri"/>
        </w:rPr>
      </w:pPr>
      <w:r w:rsidRPr="000A1397">
        <w:rPr>
          <w:rFonts w:ascii="Calibri" w:hAnsi="Calibri" w:cs="Calibri"/>
        </w:rPr>
        <w:t>Whil</w:t>
      </w:r>
      <w:r>
        <w:rPr>
          <w:rFonts w:ascii="Calibri" w:hAnsi="Calibri" w:cs="Calibri"/>
        </w:rPr>
        <w:t>e</w:t>
      </w:r>
      <w:r w:rsidRPr="000A1397">
        <w:rPr>
          <w:rFonts w:ascii="Calibri" w:hAnsi="Calibri" w:cs="Calibri"/>
        </w:rPr>
        <w:t xml:space="preserve"> there </w:t>
      </w:r>
      <w:r w:rsidR="00931F40">
        <w:rPr>
          <w:rFonts w:ascii="Calibri" w:hAnsi="Calibri" w:cs="Calibri"/>
        </w:rPr>
        <w:t>i</w:t>
      </w:r>
      <w:r w:rsidRPr="000A1397">
        <w:rPr>
          <w:rFonts w:ascii="Calibri" w:hAnsi="Calibri" w:cs="Calibri"/>
        </w:rPr>
        <w:t xml:space="preserve">s overall </w:t>
      </w:r>
      <w:r>
        <w:rPr>
          <w:rFonts w:ascii="Calibri" w:hAnsi="Calibri" w:cs="Calibri"/>
        </w:rPr>
        <w:t>growth in investment among material transportation customers</w:t>
      </w:r>
      <w:r w:rsidRPr="000A1397">
        <w:rPr>
          <w:rFonts w:ascii="Calibri" w:hAnsi="Calibri" w:cs="Calibri"/>
        </w:rPr>
        <w:t xml:space="preserve">, it </w:t>
      </w:r>
      <w:r>
        <w:rPr>
          <w:rFonts w:ascii="Calibri" w:hAnsi="Calibri" w:cs="Calibri"/>
        </w:rPr>
        <w:t>differs</w:t>
      </w:r>
      <w:r w:rsidRPr="000A1397">
        <w:rPr>
          <w:rFonts w:ascii="Calibri" w:hAnsi="Calibri" w:cs="Calibri"/>
        </w:rPr>
        <w:t xml:space="preserve"> by region. </w:t>
      </w:r>
      <w:r>
        <w:rPr>
          <w:rFonts w:ascii="Calibri" w:hAnsi="Calibri" w:cs="Calibri"/>
        </w:rPr>
        <w:t>Predicted growth in the</w:t>
      </w:r>
      <w:r w:rsidRPr="000A1397">
        <w:rPr>
          <w:rFonts w:ascii="Calibri" w:hAnsi="Calibri" w:cs="Calibri"/>
        </w:rPr>
        <w:t xml:space="preserve"> Americas is much higher </w:t>
      </w:r>
      <w:r>
        <w:rPr>
          <w:rFonts w:ascii="Calibri" w:hAnsi="Calibri" w:cs="Calibri"/>
        </w:rPr>
        <w:t xml:space="preserve">in 2026 </w:t>
      </w:r>
      <w:r w:rsidRPr="000A1397">
        <w:rPr>
          <w:rFonts w:ascii="Calibri" w:hAnsi="Calibri" w:cs="Calibri"/>
        </w:rPr>
        <w:t xml:space="preserve">than in 2025, with 39% </w:t>
      </w:r>
      <w:r>
        <w:rPr>
          <w:rFonts w:ascii="Calibri" w:hAnsi="Calibri" w:cs="Calibri"/>
        </w:rPr>
        <w:t>of respondents expecting investment to grow</w:t>
      </w:r>
      <w:r w:rsidRPr="000A1397">
        <w:rPr>
          <w:rFonts w:ascii="Calibri" w:hAnsi="Calibri" w:cs="Calibri"/>
        </w:rPr>
        <w:t xml:space="preserve"> </w:t>
      </w:r>
      <w:r>
        <w:rPr>
          <w:rFonts w:ascii="Calibri" w:hAnsi="Calibri" w:cs="Calibri"/>
        </w:rPr>
        <w:t xml:space="preserve">by </w:t>
      </w:r>
      <w:r w:rsidRPr="000A1397">
        <w:rPr>
          <w:rFonts w:ascii="Calibri" w:hAnsi="Calibri" w:cs="Calibri"/>
        </w:rPr>
        <w:t xml:space="preserve">more than 15%. Similarly, </w:t>
      </w:r>
      <w:r>
        <w:rPr>
          <w:rFonts w:ascii="Calibri" w:hAnsi="Calibri" w:cs="Calibri"/>
        </w:rPr>
        <w:t xml:space="preserve">in </w:t>
      </w:r>
      <w:r w:rsidRPr="000A1397">
        <w:rPr>
          <w:rFonts w:ascii="Calibri" w:hAnsi="Calibri" w:cs="Calibri"/>
        </w:rPr>
        <w:t>Europe</w:t>
      </w:r>
      <w:r>
        <w:rPr>
          <w:rFonts w:ascii="Calibri" w:hAnsi="Calibri" w:cs="Calibri"/>
        </w:rPr>
        <w:t>, the</w:t>
      </w:r>
      <w:r w:rsidRPr="000A1397">
        <w:rPr>
          <w:rFonts w:ascii="Calibri" w:hAnsi="Calibri" w:cs="Calibri"/>
        </w:rPr>
        <w:t xml:space="preserve"> growth rate is 16%-20%, with 37% of respondents forecasting growth of more than 15%. In contrast, </w:t>
      </w:r>
      <w:r>
        <w:rPr>
          <w:rFonts w:ascii="Calibri" w:hAnsi="Calibri" w:cs="Calibri"/>
        </w:rPr>
        <w:t xml:space="preserve">customers in the </w:t>
      </w:r>
      <w:r w:rsidRPr="000A1397">
        <w:rPr>
          <w:rFonts w:ascii="Calibri" w:hAnsi="Calibri" w:cs="Calibri"/>
        </w:rPr>
        <w:t xml:space="preserve">APAC region </w:t>
      </w:r>
      <w:r w:rsidRPr="000A1397">
        <w:rPr>
          <w:rFonts w:ascii="Calibri" w:hAnsi="Calibri" w:cs="Calibri"/>
        </w:rPr>
        <w:lastRenderedPageBreak/>
        <w:t xml:space="preserve">were less optimistic, with 32% </w:t>
      </w:r>
      <w:r>
        <w:rPr>
          <w:rFonts w:ascii="Calibri" w:hAnsi="Calibri" w:cs="Calibri"/>
        </w:rPr>
        <w:t>not expect</w:t>
      </w:r>
      <w:r w:rsidR="00931F40">
        <w:rPr>
          <w:rFonts w:ascii="Calibri" w:hAnsi="Calibri" w:cs="Calibri"/>
        </w:rPr>
        <w:t>ing</w:t>
      </w:r>
      <w:r>
        <w:rPr>
          <w:rFonts w:ascii="Calibri" w:hAnsi="Calibri" w:cs="Calibri"/>
        </w:rPr>
        <w:t xml:space="preserve"> </w:t>
      </w:r>
      <w:r w:rsidRPr="000A1397">
        <w:rPr>
          <w:rFonts w:ascii="Calibri" w:hAnsi="Calibri" w:cs="Calibri"/>
        </w:rPr>
        <w:t>a change in</w:t>
      </w:r>
      <w:r>
        <w:rPr>
          <w:rFonts w:ascii="Calibri" w:hAnsi="Calibri" w:cs="Calibri"/>
        </w:rPr>
        <w:t xml:space="preserve"> </w:t>
      </w:r>
      <w:r w:rsidR="00931F40">
        <w:rPr>
          <w:rFonts w:ascii="Calibri" w:hAnsi="Calibri" w:cs="Calibri"/>
        </w:rPr>
        <w:t xml:space="preserve">the value of </w:t>
      </w:r>
      <w:r>
        <w:rPr>
          <w:rFonts w:ascii="Calibri" w:hAnsi="Calibri" w:cs="Calibri"/>
        </w:rPr>
        <w:t>investment</w:t>
      </w:r>
      <w:r w:rsidR="00931F40">
        <w:rPr>
          <w:rFonts w:ascii="Calibri" w:hAnsi="Calibri" w:cs="Calibri"/>
        </w:rPr>
        <w:t>s</w:t>
      </w:r>
      <w:r>
        <w:rPr>
          <w:rFonts w:ascii="Calibri" w:hAnsi="Calibri" w:cs="Calibri"/>
        </w:rPr>
        <w:t xml:space="preserve"> during</w:t>
      </w:r>
      <w:r w:rsidRPr="000A1397">
        <w:rPr>
          <w:rFonts w:ascii="Calibri" w:hAnsi="Calibri" w:cs="Calibri"/>
        </w:rPr>
        <w:t xml:space="preserve"> 2026. Those who foresee growth have predicted </w:t>
      </w:r>
      <w:r>
        <w:rPr>
          <w:rFonts w:ascii="Calibri" w:hAnsi="Calibri" w:cs="Calibri"/>
        </w:rPr>
        <w:t xml:space="preserve">the </w:t>
      </w:r>
      <w:r w:rsidRPr="000A1397">
        <w:rPr>
          <w:rFonts w:ascii="Calibri" w:hAnsi="Calibri" w:cs="Calibri"/>
        </w:rPr>
        <w:t xml:space="preserve">growth </w:t>
      </w:r>
      <w:r>
        <w:rPr>
          <w:rFonts w:ascii="Calibri" w:hAnsi="Calibri" w:cs="Calibri"/>
        </w:rPr>
        <w:t>rate will</w:t>
      </w:r>
      <w:r w:rsidRPr="000A1397">
        <w:rPr>
          <w:rFonts w:ascii="Calibri" w:hAnsi="Calibri" w:cs="Calibri"/>
        </w:rPr>
        <w:t xml:space="preserve"> be lower than last year.</w:t>
      </w:r>
    </w:p>
    <w:p w14:paraId="157F1091" w14:textId="0C3DD6EA" w:rsidR="000D7E08" w:rsidRPr="000A1397" w:rsidRDefault="00043FB5" w:rsidP="000D7E08">
      <w:pPr>
        <w:rPr>
          <w:rFonts w:ascii="Calibri" w:hAnsi="Calibri" w:cs="Calibri"/>
          <w:i/>
        </w:rPr>
      </w:pPr>
      <w:r w:rsidRPr="000A1397">
        <w:rPr>
          <w:rFonts w:ascii="Calibri" w:hAnsi="Calibri" w:cs="Calibri"/>
          <w:b/>
        </w:rPr>
        <w:t xml:space="preserve">Monica Sanchez, Senior Research Lead for Voice of Market at Interact Analysis, </w:t>
      </w:r>
      <w:r w:rsidRPr="00DE4DDB">
        <w:rPr>
          <w:rFonts w:ascii="Calibri" w:hAnsi="Calibri" w:cs="Calibri"/>
        </w:rPr>
        <w:t>says:</w:t>
      </w:r>
      <w:r w:rsidRPr="000A1397">
        <w:rPr>
          <w:rFonts w:ascii="Calibri" w:hAnsi="Calibri" w:cs="Calibri"/>
          <w:i/>
        </w:rPr>
        <w:t xml:space="preserve"> “</w:t>
      </w:r>
      <w:r w:rsidRPr="000A1397">
        <w:rPr>
          <w:rFonts w:ascii="Calibri" w:hAnsi="Calibri" w:cs="Calibri"/>
          <w:i/>
          <w:iCs/>
        </w:rPr>
        <w:t>Whil</w:t>
      </w:r>
      <w:r w:rsidR="006A479F" w:rsidRPr="000A1397">
        <w:rPr>
          <w:rFonts w:ascii="Calibri" w:hAnsi="Calibri" w:cs="Calibri"/>
          <w:i/>
          <w:iCs/>
        </w:rPr>
        <w:t>e</w:t>
      </w:r>
      <w:r w:rsidRPr="000A1397">
        <w:rPr>
          <w:rFonts w:ascii="Calibri" w:hAnsi="Calibri" w:cs="Calibri"/>
          <w:i/>
        </w:rPr>
        <w:t xml:space="preserve"> automation </w:t>
      </w:r>
      <w:proofErr w:type="spellStart"/>
      <w:r w:rsidRPr="000A1397">
        <w:rPr>
          <w:rFonts w:ascii="Calibri" w:hAnsi="Calibri" w:cs="Calibri"/>
          <w:i/>
        </w:rPr>
        <w:t>CapE</w:t>
      </w:r>
      <w:r w:rsidR="00D46E68" w:rsidRPr="000A1397">
        <w:rPr>
          <w:rFonts w:ascii="Calibri" w:hAnsi="Calibri" w:cs="Calibri"/>
          <w:i/>
        </w:rPr>
        <w:t>x</w:t>
      </w:r>
      <w:proofErr w:type="spellEnd"/>
      <w:r w:rsidRPr="000A1397">
        <w:rPr>
          <w:rFonts w:ascii="Calibri" w:hAnsi="Calibri" w:cs="Calibri"/>
          <w:i/>
        </w:rPr>
        <w:t xml:space="preserve"> will increase in 2026, priority varies widely </w:t>
      </w:r>
      <w:r w:rsidR="00E67A90" w:rsidRPr="000A1397">
        <w:rPr>
          <w:rFonts w:ascii="Calibri" w:hAnsi="Calibri" w:cs="Calibri"/>
          <w:i/>
          <w:iCs/>
        </w:rPr>
        <w:t>between</w:t>
      </w:r>
      <w:r w:rsidRPr="000A1397">
        <w:rPr>
          <w:rFonts w:ascii="Calibri" w:hAnsi="Calibri" w:cs="Calibri"/>
          <w:i/>
        </w:rPr>
        <w:t xml:space="preserve"> companies, job roles, and industries</w:t>
      </w:r>
      <w:r w:rsidR="00140AC8">
        <w:rPr>
          <w:rFonts w:ascii="Calibri" w:hAnsi="Calibri" w:cs="Calibri"/>
          <w:i/>
          <w:iCs/>
        </w:rPr>
        <w:t>, as well as by region</w:t>
      </w:r>
      <w:r w:rsidRPr="000A1397">
        <w:rPr>
          <w:rFonts w:ascii="Calibri" w:hAnsi="Calibri" w:cs="Calibri"/>
          <w:i/>
          <w:iCs/>
        </w:rPr>
        <w:t>.</w:t>
      </w:r>
      <w:r w:rsidRPr="000A1397">
        <w:rPr>
          <w:rFonts w:ascii="Calibri" w:hAnsi="Calibri" w:cs="Calibri"/>
          <w:i/>
        </w:rPr>
        <w:t xml:space="preserve"> The results from our research show there’s higher importance </w:t>
      </w:r>
      <w:r w:rsidR="00DF26D7" w:rsidRPr="000A1397">
        <w:rPr>
          <w:rFonts w:ascii="Calibri" w:hAnsi="Calibri" w:cs="Calibri"/>
          <w:i/>
          <w:iCs/>
        </w:rPr>
        <w:t>p</w:t>
      </w:r>
      <w:r w:rsidR="0034557D" w:rsidRPr="000A1397">
        <w:rPr>
          <w:rFonts w:ascii="Calibri" w:hAnsi="Calibri" w:cs="Calibri"/>
          <w:i/>
          <w:iCs/>
        </w:rPr>
        <w:t>lace</w:t>
      </w:r>
      <w:r w:rsidR="00173382" w:rsidRPr="000A1397">
        <w:rPr>
          <w:rFonts w:ascii="Calibri" w:hAnsi="Calibri" w:cs="Calibri"/>
          <w:i/>
          <w:iCs/>
        </w:rPr>
        <w:t>d</w:t>
      </w:r>
      <w:r w:rsidR="0034557D" w:rsidRPr="000A1397">
        <w:rPr>
          <w:rFonts w:ascii="Calibri" w:hAnsi="Calibri" w:cs="Calibri"/>
          <w:i/>
          <w:iCs/>
        </w:rPr>
        <w:t xml:space="preserve"> </w:t>
      </w:r>
      <w:r w:rsidRPr="000A1397">
        <w:rPr>
          <w:rFonts w:ascii="Calibri" w:hAnsi="Calibri" w:cs="Calibri"/>
          <w:i/>
        </w:rPr>
        <w:t xml:space="preserve">on automation </w:t>
      </w:r>
      <w:r w:rsidR="00545380" w:rsidRPr="000A1397">
        <w:rPr>
          <w:rFonts w:ascii="Calibri" w:hAnsi="Calibri" w:cs="Calibri"/>
          <w:i/>
          <w:iCs/>
        </w:rPr>
        <w:t>by</w:t>
      </w:r>
      <w:r w:rsidRPr="000A1397">
        <w:rPr>
          <w:rFonts w:ascii="Calibri" w:hAnsi="Calibri" w:cs="Calibri"/>
          <w:i/>
        </w:rPr>
        <w:t xml:space="preserve"> decision</w:t>
      </w:r>
      <w:r w:rsidR="00544497" w:rsidRPr="000A1397">
        <w:rPr>
          <w:rFonts w:ascii="Calibri" w:hAnsi="Calibri" w:cs="Calibri"/>
          <w:i/>
          <w:iCs/>
        </w:rPr>
        <w:t xml:space="preserve"> </w:t>
      </w:r>
      <w:r w:rsidRPr="000A1397">
        <w:rPr>
          <w:rFonts w:ascii="Calibri" w:hAnsi="Calibri" w:cs="Calibri"/>
          <w:i/>
        </w:rPr>
        <w:t xml:space="preserve">makers, parcel &amp; e-commerce </w:t>
      </w:r>
      <w:r w:rsidR="00140AC8">
        <w:rPr>
          <w:rFonts w:ascii="Calibri" w:hAnsi="Calibri" w:cs="Calibri"/>
          <w:i/>
          <w:iCs/>
        </w:rPr>
        <w:t>businesses</w:t>
      </w:r>
      <w:r w:rsidR="00525329" w:rsidRPr="000A1397">
        <w:rPr>
          <w:rFonts w:ascii="Calibri" w:hAnsi="Calibri" w:cs="Calibri"/>
          <w:i/>
          <w:iCs/>
        </w:rPr>
        <w:t>,</w:t>
      </w:r>
      <w:r w:rsidRPr="000A1397">
        <w:rPr>
          <w:rFonts w:ascii="Calibri" w:hAnsi="Calibri" w:cs="Calibri"/>
          <w:i/>
        </w:rPr>
        <w:t xml:space="preserve"> and larger companies.”</w:t>
      </w:r>
    </w:p>
    <w:p w14:paraId="34F1B385" w14:textId="5A28E7A4" w:rsidR="000D7E08" w:rsidRPr="000A1397" w:rsidRDefault="000D7E08" w:rsidP="000D7E08">
      <w:pPr>
        <w:rPr>
          <w:rFonts w:ascii="Calibri" w:hAnsi="Calibri" w:cs="Calibri"/>
          <w:b/>
        </w:rPr>
      </w:pPr>
      <w:r w:rsidRPr="000A1397">
        <w:rPr>
          <w:rFonts w:ascii="Calibri" w:hAnsi="Calibri" w:cs="Calibri"/>
          <w:b/>
        </w:rPr>
        <w:t xml:space="preserve">About this report: </w:t>
      </w:r>
    </w:p>
    <w:p w14:paraId="085F16AB" w14:textId="62CC16A2" w:rsidR="00C42BF6" w:rsidRPr="000A1397" w:rsidRDefault="000D7E08" w:rsidP="00AD1295">
      <w:pPr>
        <w:spacing w:after="0"/>
        <w:rPr>
          <w:rFonts w:ascii="Calibri" w:hAnsi="Calibri" w:cs="Calibri"/>
          <w:b/>
          <w:bCs/>
        </w:rPr>
      </w:pPr>
      <w:r w:rsidRPr="000A1397">
        <w:rPr>
          <w:rFonts w:ascii="Calibri" w:hAnsi="Calibri" w:cs="Calibri"/>
        </w:rPr>
        <w:t xml:space="preserve">Interact Analysis’ Voice of Market is a twice-yearly </w:t>
      </w:r>
      <w:r w:rsidRPr="000A1397">
        <w:rPr>
          <w:rFonts w:ascii="Calibri" w:hAnsi="Calibri" w:cs="Calibri"/>
          <w:color w:val="221F1F"/>
        </w:rPr>
        <w:t>syndicated quantitative and qualitative study, which delivers impartial insights from decision-makers and influencers who are involved in the use, selection and purchase of automation technology for their facilities. These insights include market health, sentiment, investment appetite, vendor perception, pain points and emerging trends.</w:t>
      </w:r>
    </w:p>
    <w:p w14:paraId="6E7486A5" w14:textId="77777777" w:rsidR="00B269DF" w:rsidRPr="000A1397" w:rsidRDefault="00B269DF" w:rsidP="00DE4DDB">
      <w:pPr>
        <w:spacing w:after="0"/>
        <w:rPr>
          <w:rFonts w:ascii="Calibri" w:hAnsi="Calibri" w:cs="Calibri"/>
          <w:b/>
          <w:bCs/>
        </w:rPr>
      </w:pPr>
    </w:p>
    <w:p w14:paraId="46B140B7" w14:textId="504126A6" w:rsidR="000D7E08" w:rsidRPr="000A1397" w:rsidRDefault="000D7E08" w:rsidP="000D7E08">
      <w:pPr>
        <w:rPr>
          <w:rFonts w:ascii="Calibri" w:hAnsi="Calibri" w:cs="Calibri"/>
          <w:b/>
        </w:rPr>
      </w:pPr>
      <w:r w:rsidRPr="000A1397">
        <w:rPr>
          <w:rFonts w:ascii="Calibri" w:hAnsi="Calibri" w:cs="Calibri"/>
          <w:b/>
        </w:rPr>
        <w:t>About Interact Analysis:</w:t>
      </w:r>
    </w:p>
    <w:p w14:paraId="065F04E5" w14:textId="7E8359C2" w:rsidR="000D7E08" w:rsidRPr="000A1397" w:rsidRDefault="000D7E08" w:rsidP="00DE4DDB">
      <w:pPr>
        <w:spacing w:after="0" w:line="240" w:lineRule="auto"/>
        <w:contextualSpacing/>
        <w:rPr>
          <w:rFonts w:ascii="Calibri" w:hAnsi="Calibri" w:cs="Calibri"/>
        </w:rPr>
      </w:pPr>
      <w:r w:rsidRPr="000A1397">
        <w:rPr>
          <w:rFonts w:ascii="Calibri" w:hAnsi="Calibri" w:cs="Calibri"/>
        </w:rPr>
        <w:t xml:space="preserve">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companies trust us to surface robust insights and opportunities for technology-driven growth. To learn more, visit  </w:t>
      </w:r>
      <w:hyperlink r:id="rId9" w:tgtFrame="_blank" w:history="1">
        <w:r w:rsidRPr="000A1397">
          <w:rPr>
            <w:rStyle w:val="Hyperlink"/>
            <w:rFonts w:ascii="Calibri" w:hAnsi="Calibri" w:cs="Calibri"/>
          </w:rPr>
          <w:t>www.InteractAnalysis.com</w:t>
        </w:r>
      </w:hyperlink>
      <w:r w:rsidRPr="000A1397">
        <w:rPr>
          <w:rFonts w:ascii="Calibri" w:hAnsi="Calibri" w:cs="Calibri"/>
        </w:rPr>
        <w:t>  </w:t>
      </w:r>
    </w:p>
    <w:sectPr w:rsidR="000D7E08" w:rsidRPr="000A13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222F4"/>
    <w:multiLevelType w:val="hybridMultilevel"/>
    <w:tmpl w:val="B2B8E684"/>
    <w:lvl w:ilvl="0" w:tplc="4392A2DE">
      <w:start w:val="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386151"/>
    <w:multiLevelType w:val="hybridMultilevel"/>
    <w:tmpl w:val="EE8060A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27920716">
    <w:abstractNumId w:val="0"/>
  </w:num>
  <w:num w:numId="2" w16cid:durableId="4414568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E08"/>
    <w:rsid w:val="000003F5"/>
    <w:rsid w:val="00006E78"/>
    <w:rsid w:val="000201FE"/>
    <w:rsid w:val="000267CB"/>
    <w:rsid w:val="00027511"/>
    <w:rsid w:val="00043FB5"/>
    <w:rsid w:val="000535BA"/>
    <w:rsid w:val="00057907"/>
    <w:rsid w:val="00061A90"/>
    <w:rsid w:val="000820F6"/>
    <w:rsid w:val="000A0D50"/>
    <w:rsid w:val="000A10AE"/>
    <w:rsid w:val="000A1397"/>
    <w:rsid w:val="000A5D9D"/>
    <w:rsid w:val="000B2430"/>
    <w:rsid w:val="000C795A"/>
    <w:rsid w:val="000D0960"/>
    <w:rsid w:val="000D7DC2"/>
    <w:rsid w:val="000D7E08"/>
    <w:rsid w:val="001038A5"/>
    <w:rsid w:val="00105A09"/>
    <w:rsid w:val="00117203"/>
    <w:rsid w:val="00132EB3"/>
    <w:rsid w:val="00140AC8"/>
    <w:rsid w:val="001529CC"/>
    <w:rsid w:val="00153864"/>
    <w:rsid w:val="00166A3E"/>
    <w:rsid w:val="00166B1F"/>
    <w:rsid w:val="0017130A"/>
    <w:rsid w:val="00173382"/>
    <w:rsid w:val="001820B0"/>
    <w:rsid w:val="00192145"/>
    <w:rsid w:val="001A13CF"/>
    <w:rsid w:val="001A1A16"/>
    <w:rsid w:val="001A529B"/>
    <w:rsid w:val="001B08B7"/>
    <w:rsid w:val="001B0A01"/>
    <w:rsid w:val="001B60A0"/>
    <w:rsid w:val="001D476F"/>
    <w:rsid w:val="001E3CED"/>
    <w:rsid w:val="001E4FEA"/>
    <w:rsid w:val="00214954"/>
    <w:rsid w:val="00220403"/>
    <w:rsid w:val="00233898"/>
    <w:rsid w:val="00235B21"/>
    <w:rsid w:val="00253227"/>
    <w:rsid w:val="00253D37"/>
    <w:rsid w:val="00271C7C"/>
    <w:rsid w:val="002A47A3"/>
    <w:rsid w:val="002E157F"/>
    <w:rsid w:val="002F6662"/>
    <w:rsid w:val="002F6C79"/>
    <w:rsid w:val="00300121"/>
    <w:rsid w:val="00305D88"/>
    <w:rsid w:val="003127FE"/>
    <w:rsid w:val="003149EF"/>
    <w:rsid w:val="0034557D"/>
    <w:rsid w:val="0038385F"/>
    <w:rsid w:val="00392B3F"/>
    <w:rsid w:val="00393054"/>
    <w:rsid w:val="00394A53"/>
    <w:rsid w:val="003A2D6C"/>
    <w:rsid w:val="003A3988"/>
    <w:rsid w:val="003C0843"/>
    <w:rsid w:val="003C3188"/>
    <w:rsid w:val="003C3199"/>
    <w:rsid w:val="003C7212"/>
    <w:rsid w:val="003E3CCD"/>
    <w:rsid w:val="003E4F52"/>
    <w:rsid w:val="003F33C3"/>
    <w:rsid w:val="003F3603"/>
    <w:rsid w:val="003F693F"/>
    <w:rsid w:val="00420219"/>
    <w:rsid w:val="004241A6"/>
    <w:rsid w:val="00427BAD"/>
    <w:rsid w:val="00447106"/>
    <w:rsid w:val="0045452D"/>
    <w:rsid w:val="004579E2"/>
    <w:rsid w:val="00460FFF"/>
    <w:rsid w:val="00465D16"/>
    <w:rsid w:val="00477BEC"/>
    <w:rsid w:val="00477D76"/>
    <w:rsid w:val="004931ED"/>
    <w:rsid w:val="004A3D52"/>
    <w:rsid w:val="004A52BE"/>
    <w:rsid w:val="004A5747"/>
    <w:rsid w:val="004C62A4"/>
    <w:rsid w:val="004E3883"/>
    <w:rsid w:val="004F2A1C"/>
    <w:rsid w:val="004F3325"/>
    <w:rsid w:val="004F37A9"/>
    <w:rsid w:val="00515792"/>
    <w:rsid w:val="005175DB"/>
    <w:rsid w:val="00517A9E"/>
    <w:rsid w:val="00523CAA"/>
    <w:rsid w:val="0052473D"/>
    <w:rsid w:val="00525329"/>
    <w:rsid w:val="00544497"/>
    <w:rsid w:val="00545380"/>
    <w:rsid w:val="0055119F"/>
    <w:rsid w:val="00552439"/>
    <w:rsid w:val="0055434F"/>
    <w:rsid w:val="005633EA"/>
    <w:rsid w:val="00580731"/>
    <w:rsid w:val="00580AB4"/>
    <w:rsid w:val="00580E90"/>
    <w:rsid w:val="005849EE"/>
    <w:rsid w:val="00585201"/>
    <w:rsid w:val="005924C2"/>
    <w:rsid w:val="00593F42"/>
    <w:rsid w:val="00594001"/>
    <w:rsid w:val="00594A7D"/>
    <w:rsid w:val="00597922"/>
    <w:rsid w:val="005A21EE"/>
    <w:rsid w:val="005A2D03"/>
    <w:rsid w:val="005B3375"/>
    <w:rsid w:val="005B7EF7"/>
    <w:rsid w:val="005C3D61"/>
    <w:rsid w:val="005D0232"/>
    <w:rsid w:val="005E114B"/>
    <w:rsid w:val="005E4EFA"/>
    <w:rsid w:val="005F729E"/>
    <w:rsid w:val="005F798C"/>
    <w:rsid w:val="006221FF"/>
    <w:rsid w:val="0063168C"/>
    <w:rsid w:val="00636AFC"/>
    <w:rsid w:val="00645103"/>
    <w:rsid w:val="0064732E"/>
    <w:rsid w:val="0064792F"/>
    <w:rsid w:val="006511C4"/>
    <w:rsid w:val="00655258"/>
    <w:rsid w:val="00661A79"/>
    <w:rsid w:val="006823F7"/>
    <w:rsid w:val="006875D1"/>
    <w:rsid w:val="006A0E54"/>
    <w:rsid w:val="006A479F"/>
    <w:rsid w:val="006A71DF"/>
    <w:rsid w:val="006A783B"/>
    <w:rsid w:val="006B2EE6"/>
    <w:rsid w:val="006C16D2"/>
    <w:rsid w:val="006C599D"/>
    <w:rsid w:val="006C7080"/>
    <w:rsid w:val="006D5719"/>
    <w:rsid w:val="006E5731"/>
    <w:rsid w:val="006E6419"/>
    <w:rsid w:val="00701127"/>
    <w:rsid w:val="00704355"/>
    <w:rsid w:val="0071381E"/>
    <w:rsid w:val="00720CE1"/>
    <w:rsid w:val="00725388"/>
    <w:rsid w:val="00731FB7"/>
    <w:rsid w:val="00734555"/>
    <w:rsid w:val="0073600B"/>
    <w:rsid w:val="00740356"/>
    <w:rsid w:val="007552CB"/>
    <w:rsid w:val="00760AAC"/>
    <w:rsid w:val="007672CA"/>
    <w:rsid w:val="00772B35"/>
    <w:rsid w:val="00776B2B"/>
    <w:rsid w:val="007940B9"/>
    <w:rsid w:val="007950D9"/>
    <w:rsid w:val="007A6E42"/>
    <w:rsid w:val="007B0DA2"/>
    <w:rsid w:val="007C34E9"/>
    <w:rsid w:val="007D08D2"/>
    <w:rsid w:val="00803EA0"/>
    <w:rsid w:val="008050B5"/>
    <w:rsid w:val="008119AC"/>
    <w:rsid w:val="00812B7F"/>
    <w:rsid w:val="00814E79"/>
    <w:rsid w:val="00815316"/>
    <w:rsid w:val="008302E1"/>
    <w:rsid w:val="008419FD"/>
    <w:rsid w:val="0084344A"/>
    <w:rsid w:val="00852A43"/>
    <w:rsid w:val="00862E44"/>
    <w:rsid w:val="00864252"/>
    <w:rsid w:val="00864F44"/>
    <w:rsid w:val="0087052E"/>
    <w:rsid w:val="008841EB"/>
    <w:rsid w:val="008927CA"/>
    <w:rsid w:val="00893A7C"/>
    <w:rsid w:val="00893E7A"/>
    <w:rsid w:val="00894514"/>
    <w:rsid w:val="008C41F1"/>
    <w:rsid w:val="008C4B4B"/>
    <w:rsid w:val="008E1D96"/>
    <w:rsid w:val="008E3324"/>
    <w:rsid w:val="00900180"/>
    <w:rsid w:val="00902DE7"/>
    <w:rsid w:val="00916D13"/>
    <w:rsid w:val="0092687E"/>
    <w:rsid w:val="00931F40"/>
    <w:rsid w:val="00940011"/>
    <w:rsid w:val="00940D49"/>
    <w:rsid w:val="00944027"/>
    <w:rsid w:val="00954DCA"/>
    <w:rsid w:val="00962ED4"/>
    <w:rsid w:val="00972B08"/>
    <w:rsid w:val="0098450F"/>
    <w:rsid w:val="00987AC0"/>
    <w:rsid w:val="009C341D"/>
    <w:rsid w:val="00A014D1"/>
    <w:rsid w:val="00A1171A"/>
    <w:rsid w:val="00A16A95"/>
    <w:rsid w:val="00A2023C"/>
    <w:rsid w:val="00A52484"/>
    <w:rsid w:val="00A5386C"/>
    <w:rsid w:val="00A829E4"/>
    <w:rsid w:val="00A8622B"/>
    <w:rsid w:val="00A911D1"/>
    <w:rsid w:val="00AA352F"/>
    <w:rsid w:val="00AB00C8"/>
    <w:rsid w:val="00AC1647"/>
    <w:rsid w:val="00AC1CAE"/>
    <w:rsid w:val="00AD1295"/>
    <w:rsid w:val="00AD183C"/>
    <w:rsid w:val="00AD4909"/>
    <w:rsid w:val="00AE5103"/>
    <w:rsid w:val="00AF7ADD"/>
    <w:rsid w:val="00B040E1"/>
    <w:rsid w:val="00B1677D"/>
    <w:rsid w:val="00B269DF"/>
    <w:rsid w:val="00B45B80"/>
    <w:rsid w:val="00B66DBB"/>
    <w:rsid w:val="00B80429"/>
    <w:rsid w:val="00B82E20"/>
    <w:rsid w:val="00B8630E"/>
    <w:rsid w:val="00B9104D"/>
    <w:rsid w:val="00BA7461"/>
    <w:rsid w:val="00BC093F"/>
    <w:rsid w:val="00BE1E24"/>
    <w:rsid w:val="00BF11A3"/>
    <w:rsid w:val="00BF13BB"/>
    <w:rsid w:val="00BF1679"/>
    <w:rsid w:val="00BF23B2"/>
    <w:rsid w:val="00C01269"/>
    <w:rsid w:val="00C0343D"/>
    <w:rsid w:val="00C03B30"/>
    <w:rsid w:val="00C11489"/>
    <w:rsid w:val="00C17F90"/>
    <w:rsid w:val="00C3160B"/>
    <w:rsid w:val="00C42BF6"/>
    <w:rsid w:val="00C54E1E"/>
    <w:rsid w:val="00C57804"/>
    <w:rsid w:val="00C73E40"/>
    <w:rsid w:val="00C919D7"/>
    <w:rsid w:val="00CA244D"/>
    <w:rsid w:val="00CB3330"/>
    <w:rsid w:val="00CB5DC9"/>
    <w:rsid w:val="00CC2093"/>
    <w:rsid w:val="00CC3C9C"/>
    <w:rsid w:val="00CD62DC"/>
    <w:rsid w:val="00CF093B"/>
    <w:rsid w:val="00CF3A9A"/>
    <w:rsid w:val="00D039E4"/>
    <w:rsid w:val="00D047C9"/>
    <w:rsid w:val="00D12510"/>
    <w:rsid w:val="00D157A0"/>
    <w:rsid w:val="00D1595F"/>
    <w:rsid w:val="00D20C1B"/>
    <w:rsid w:val="00D260BE"/>
    <w:rsid w:val="00D37BFA"/>
    <w:rsid w:val="00D41678"/>
    <w:rsid w:val="00D420B6"/>
    <w:rsid w:val="00D452AB"/>
    <w:rsid w:val="00D46E68"/>
    <w:rsid w:val="00D60DD0"/>
    <w:rsid w:val="00D6349B"/>
    <w:rsid w:val="00D8415E"/>
    <w:rsid w:val="00DB38FF"/>
    <w:rsid w:val="00DB49B7"/>
    <w:rsid w:val="00DB6F13"/>
    <w:rsid w:val="00DC28C3"/>
    <w:rsid w:val="00DE1613"/>
    <w:rsid w:val="00DE4DDB"/>
    <w:rsid w:val="00DF266F"/>
    <w:rsid w:val="00DF26D7"/>
    <w:rsid w:val="00DF5EA2"/>
    <w:rsid w:val="00E1519E"/>
    <w:rsid w:val="00E16EB3"/>
    <w:rsid w:val="00E21FEB"/>
    <w:rsid w:val="00E30AE4"/>
    <w:rsid w:val="00E32C64"/>
    <w:rsid w:val="00E33BD9"/>
    <w:rsid w:val="00E3553C"/>
    <w:rsid w:val="00E45156"/>
    <w:rsid w:val="00E547FF"/>
    <w:rsid w:val="00E60123"/>
    <w:rsid w:val="00E64826"/>
    <w:rsid w:val="00E66DE7"/>
    <w:rsid w:val="00E67A90"/>
    <w:rsid w:val="00E80166"/>
    <w:rsid w:val="00EA1C32"/>
    <w:rsid w:val="00EA1CF8"/>
    <w:rsid w:val="00EC503D"/>
    <w:rsid w:val="00ED14E3"/>
    <w:rsid w:val="00ED646F"/>
    <w:rsid w:val="00EE41A9"/>
    <w:rsid w:val="00F41848"/>
    <w:rsid w:val="00F433B1"/>
    <w:rsid w:val="00F47740"/>
    <w:rsid w:val="00F47F67"/>
    <w:rsid w:val="00F53061"/>
    <w:rsid w:val="00F5493B"/>
    <w:rsid w:val="00F6249A"/>
    <w:rsid w:val="00F774F4"/>
    <w:rsid w:val="00FA4BE9"/>
    <w:rsid w:val="00FB424F"/>
    <w:rsid w:val="00FB4640"/>
    <w:rsid w:val="00FC36F5"/>
    <w:rsid w:val="00FC5595"/>
    <w:rsid w:val="00FD175F"/>
    <w:rsid w:val="00FE4290"/>
    <w:rsid w:val="00FF7466"/>
    <w:rsid w:val="37D411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888A2"/>
  <w15:chartTrackingRefBased/>
  <w15:docId w15:val="{2EE6B95A-9403-4F7F-84BD-25306265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7E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7E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7E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7E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7E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7E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E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E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E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E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7E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7E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7E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7E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7E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E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E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E08"/>
    <w:rPr>
      <w:rFonts w:eastAsiaTheme="majorEastAsia" w:cstheme="majorBidi"/>
      <w:color w:val="272727" w:themeColor="text1" w:themeTint="D8"/>
    </w:rPr>
  </w:style>
  <w:style w:type="paragraph" w:styleId="Title">
    <w:name w:val="Title"/>
    <w:basedOn w:val="Normal"/>
    <w:next w:val="Normal"/>
    <w:link w:val="TitleChar"/>
    <w:uiPriority w:val="10"/>
    <w:qFormat/>
    <w:rsid w:val="000D7E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E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E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E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E08"/>
    <w:pPr>
      <w:spacing w:before="160"/>
      <w:jc w:val="center"/>
    </w:pPr>
    <w:rPr>
      <w:i/>
      <w:iCs/>
      <w:color w:val="404040" w:themeColor="text1" w:themeTint="BF"/>
    </w:rPr>
  </w:style>
  <w:style w:type="character" w:customStyle="1" w:styleId="QuoteChar">
    <w:name w:val="Quote Char"/>
    <w:basedOn w:val="DefaultParagraphFont"/>
    <w:link w:val="Quote"/>
    <w:uiPriority w:val="29"/>
    <w:rsid w:val="000D7E08"/>
    <w:rPr>
      <w:i/>
      <w:iCs/>
      <w:color w:val="404040" w:themeColor="text1" w:themeTint="BF"/>
    </w:rPr>
  </w:style>
  <w:style w:type="paragraph" w:styleId="ListParagraph">
    <w:name w:val="List Paragraph"/>
    <w:basedOn w:val="Normal"/>
    <w:uiPriority w:val="34"/>
    <w:qFormat/>
    <w:rsid w:val="000D7E08"/>
    <w:pPr>
      <w:ind w:left="720"/>
      <w:contextualSpacing/>
    </w:pPr>
  </w:style>
  <w:style w:type="character" w:styleId="IntenseEmphasis">
    <w:name w:val="Intense Emphasis"/>
    <w:basedOn w:val="DefaultParagraphFont"/>
    <w:uiPriority w:val="21"/>
    <w:qFormat/>
    <w:rsid w:val="000D7E08"/>
    <w:rPr>
      <w:i/>
      <w:iCs/>
      <w:color w:val="0F4761" w:themeColor="accent1" w:themeShade="BF"/>
    </w:rPr>
  </w:style>
  <w:style w:type="paragraph" w:styleId="IntenseQuote">
    <w:name w:val="Intense Quote"/>
    <w:basedOn w:val="Normal"/>
    <w:next w:val="Normal"/>
    <w:link w:val="IntenseQuoteChar"/>
    <w:uiPriority w:val="30"/>
    <w:qFormat/>
    <w:rsid w:val="000D7E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7E08"/>
    <w:rPr>
      <w:i/>
      <w:iCs/>
      <w:color w:val="0F4761" w:themeColor="accent1" w:themeShade="BF"/>
    </w:rPr>
  </w:style>
  <w:style w:type="character" w:styleId="IntenseReference">
    <w:name w:val="Intense Reference"/>
    <w:basedOn w:val="DefaultParagraphFont"/>
    <w:uiPriority w:val="32"/>
    <w:qFormat/>
    <w:rsid w:val="000D7E08"/>
    <w:rPr>
      <w:b/>
      <w:bCs/>
      <w:smallCaps/>
      <w:color w:val="0F4761" w:themeColor="accent1" w:themeShade="BF"/>
      <w:spacing w:val="5"/>
    </w:rPr>
  </w:style>
  <w:style w:type="character" w:styleId="Hyperlink">
    <w:name w:val="Hyperlink"/>
    <w:basedOn w:val="DefaultParagraphFont"/>
    <w:uiPriority w:val="99"/>
    <w:unhideWhenUsed/>
    <w:rsid w:val="000D7E08"/>
    <w:rPr>
      <w:color w:val="467886" w:themeColor="hyperlink"/>
      <w:u w:val="single"/>
    </w:rPr>
  </w:style>
  <w:style w:type="paragraph" w:styleId="Revision">
    <w:name w:val="Revision"/>
    <w:hidden/>
    <w:uiPriority w:val="99"/>
    <w:semiHidden/>
    <w:rsid w:val="003E3C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teractanalys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1bdf57-8500-4e87-ac38-cbe422dac6d5" xsi:nil="true"/>
    <lcf76f155ced4ddcb4097134ff3c332f xmlns="ca413c55-2515-42b7-a369-6bac33eef35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6CF819823075429D1A459E49E1E86D" ma:contentTypeVersion="18" ma:contentTypeDescription="Create a new document." ma:contentTypeScope="" ma:versionID="9ad80360d0fe1fb56760af81b3aa0345">
  <xsd:schema xmlns:xsd="http://www.w3.org/2001/XMLSchema" xmlns:xs="http://www.w3.org/2001/XMLSchema" xmlns:p="http://schemas.microsoft.com/office/2006/metadata/properties" xmlns:ns2="ca413c55-2515-42b7-a369-6bac33eef358" xmlns:ns3="071bdf57-8500-4e87-ac38-cbe422dac6d5" targetNamespace="http://schemas.microsoft.com/office/2006/metadata/properties" ma:root="true" ma:fieldsID="9e0e2690d36c0be8ac83daa3e1c02b2c" ns2:_="" ns3:_="">
    <xsd:import namespace="ca413c55-2515-42b7-a369-6bac33eef358"/>
    <xsd:import namespace="071bdf57-8500-4e87-ac38-cbe422dac6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13c55-2515-42b7-a369-6bac33eef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1bdf57-8500-4e87-ac38-cbe422dac6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7d852ea-eedd-464b-86e3-d954e4d37017}" ma:internalName="TaxCatchAll" ma:showField="CatchAllData" ma:web="071bdf57-8500-4e87-ac38-cbe422dac6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A34F47-F023-42FD-89E8-9304E351BA4C}">
  <ds:schemaRefs>
    <ds:schemaRef ds:uri="http://schemas.microsoft.com/office/2006/metadata/properties"/>
    <ds:schemaRef ds:uri="http://schemas.microsoft.com/office/infopath/2007/PartnerControls"/>
    <ds:schemaRef ds:uri="071bdf57-8500-4e87-ac38-cbe422dac6d5"/>
    <ds:schemaRef ds:uri="ca413c55-2515-42b7-a369-6bac33eef358"/>
  </ds:schemaRefs>
</ds:datastoreItem>
</file>

<file path=customXml/itemProps2.xml><?xml version="1.0" encoding="utf-8"?>
<ds:datastoreItem xmlns:ds="http://schemas.openxmlformats.org/officeDocument/2006/customXml" ds:itemID="{7F4578FA-0BDD-4637-9BBD-97EE06299756}">
  <ds:schemaRefs>
    <ds:schemaRef ds:uri="http://schemas.microsoft.com/sharepoint/v3/contenttype/forms"/>
  </ds:schemaRefs>
</ds:datastoreItem>
</file>

<file path=customXml/itemProps3.xml><?xml version="1.0" encoding="utf-8"?>
<ds:datastoreItem xmlns:ds="http://schemas.openxmlformats.org/officeDocument/2006/customXml" ds:itemID="{ECA1051C-49AE-4C7B-ACFB-5AC6F3747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13c55-2515-42b7-a369-6bac33eef358"/>
    <ds:schemaRef ds:uri="071bdf57-8500-4e87-ac38-cbe422dac6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Brook</dc:creator>
  <cp:keywords/>
  <dc:description/>
  <cp:lastModifiedBy>Theresa Haworth</cp:lastModifiedBy>
  <cp:revision>3</cp:revision>
  <dcterms:created xsi:type="dcterms:W3CDTF">2026-06-26T08:00:00Z</dcterms:created>
  <dcterms:modified xsi:type="dcterms:W3CDTF">2026-06-26T08:00:00Z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0x010100E36CF819823075429D1A459E49E1E86D</vt:lpwstr>
  </property>
  <property fmtid="{D5CDD505-2E9C-101B-9397-08002B2CF9AE}" pid="3" name="docLang">
    <vt:lpwstr>en</vt:lpwstr>
  </property>
  <property fmtid="{D5CDD505-2E9C-101B-9397-08002B2CF9AE}" pid="4" name="MediaServiceImageTags">
    <vt:lpwstr/>
  </property>
</Properties>
</file>