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D9DA7" w14:textId="39A8E25E" w:rsidR="004201C8" w:rsidRPr="002823B0" w:rsidRDefault="004201C8" w:rsidP="004201C8">
      <w:pPr>
        <w:jc w:val="center"/>
        <w:rPr>
          <w:rFonts w:ascii="Calibri" w:hAnsi="Calibri" w:cs="Calibri"/>
          <w:b/>
          <w:bCs/>
          <w:sz w:val="32"/>
          <w:szCs w:val="32"/>
        </w:rPr>
      </w:pPr>
      <w:r w:rsidRPr="00D46351">
        <w:rPr>
          <w:rFonts w:ascii="Calibri" w:hAnsi="Calibri" w:cs="Calibri"/>
          <w:b/>
          <w:bCs/>
          <w:sz w:val="32"/>
          <w:szCs w:val="32"/>
        </w:rPr>
        <w:t>Ultra-low voltage market grows by 0.1% in 2024, growth period expected in 2025</w:t>
      </w:r>
    </w:p>
    <w:p w14:paraId="0439D3FC" w14:textId="17E2BB79" w:rsidR="004201C8" w:rsidRPr="00D46351" w:rsidRDefault="004201C8" w:rsidP="25C01FD3">
      <w:pPr>
        <w:pStyle w:val="ListParagraph"/>
        <w:numPr>
          <w:ilvl w:val="0"/>
          <w:numId w:val="1"/>
        </w:numPr>
        <w:ind w:left="426"/>
        <w:rPr>
          <w:rFonts w:ascii="Calibri" w:hAnsi="Calibri" w:cs="Calibri"/>
          <w:b/>
          <w:bCs/>
        </w:rPr>
      </w:pPr>
      <w:r w:rsidRPr="00795158">
        <w:rPr>
          <w:rFonts w:ascii="Calibri" w:hAnsi="Calibri" w:cs="Calibri"/>
          <w:b/>
          <w:bCs/>
        </w:rPr>
        <w:t xml:space="preserve">Ultra-low voltage </w:t>
      </w:r>
      <w:r w:rsidR="00787C56" w:rsidRPr="00795158">
        <w:rPr>
          <w:rFonts w:ascii="Calibri" w:hAnsi="Calibri" w:cs="Calibri"/>
          <w:b/>
          <w:bCs/>
        </w:rPr>
        <w:t xml:space="preserve">motors and drives </w:t>
      </w:r>
      <w:r w:rsidRPr="00795158">
        <w:rPr>
          <w:rFonts w:ascii="Calibri" w:hAnsi="Calibri" w:cs="Calibri"/>
          <w:b/>
          <w:bCs/>
        </w:rPr>
        <w:t>market</w:t>
      </w:r>
      <w:r w:rsidRPr="00D46351">
        <w:rPr>
          <w:rFonts w:ascii="Calibri" w:hAnsi="Calibri" w:cs="Calibri"/>
          <w:b/>
          <w:bCs/>
        </w:rPr>
        <w:t xml:space="preserve"> grew by 0.1% in 2024</w:t>
      </w:r>
    </w:p>
    <w:p w14:paraId="6ACF8B37" w14:textId="7C62A52A" w:rsidR="004201C8" w:rsidRPr="00D46351" w:rsidRDefault="004201C8" w:rsidP="25C01FD3">
      <w:pPr>
        <w:pStyle w:val="ListParagraph"/>
        <w:numPr>
          <w:ilvl w:val="0"/>
          <w:numId w:val="1"/>
        </w:numPr>
        <w:ind w:left="426"/>
        <w:rPr>
          <w:rFonts w:ascii="Calibri" w:hAnsi="Calibri" w:cs="Calibri"/>
          <w:b/>
          <w:bCs/>
        </w:rPr>
      </w:pPr>
      <w:r w:rsidRPr="00D46351">
        <w:rPr>
          <w:rFonts w:ascii="Calibri" w:hAnsi="Calibri" w:cs="Calibri"/>
          <w:b/>
          <w:bCs/>
        </w:rPr>
        <w:t xml:space="preserve">De-stocking continues to </w:t>
      </w:r>
      <w:r w:rsidR="00136062" w:rsidRPr="00D46351">
        <w:rPr>
          <w:rFonts w:ascii="Calibri" w:hAnsi="Calibri" w:cs="Calibri"/>
          <w:b/>
          <w:bCs/>
        </w:rPr>
        <w:t xml:space="preserve">impact </w:t>
      </w:r>
      <w:r w:rsidRPr="00D46351">
        <w:rPr>
          <w:rFonts w:ascii="Calibri" w:hAnsi="Calibri" w:cs="Calibri"/>
          <w:b/>
          <w:bCs/>
        </w:rPr>
        <w:t>market growth</w:t>
      </w:r>
    </w:p>
    <w:p w14:paraId="71C2C14B" w14:textId="757372CE" w:rsidR="004201C8" w:rsidRPr="00D46351" w:rsidRDefault="004201C8" w:rsidP="25C01FD3">
      <w:pPr>
        <w:pStyle w:val="ListParagraph"/>
        <w:numPr>
          <w:ilvl w:val="0"/>
          <w:numId w:val="1"/>
        </w:numPr>
        <w:ind w:left="426"/>
        <w:rPr>
          <w:rFonts w:ascii="Calibri" w:hAnsi="Calibri" w:cs="Calibri"/>
          <w:b/>
          <w:bCs/>
        </w:rPr>
      </w:pPr>
      <w:r w:rsidRPr="00D46351">
        <w:rPr>
          <w:rFonts w:ascii="Calibri" w:hAnsi="Calibri" w:cs="Calibri"/>
          <w:b/>
          <w:bCs/>
        </w:rPr>
        <w:t xml:space="preserve">2025 outlook remains positive with </w:t>
      </w:r>
      <w:r w:rsidR="00AD5FBC">
        <w:rPr>
          <w:rFonts w:ascii="Calibri" w:hAnsi="Calibri" w:cs="Calibri"/>
          <w:b/>
          <w:bCs/>
        </w:rPr>
        <w:t xml:space="preserve">recovery and return to </w:t>
      </w:r>
      <w:r w:rsidRPr="00D46351">
        <w:rPr>
          <w:rFonts w:ascii="Calibri" w:hAnsi="Calibri" w:cs="Calibri"/>
          <w:b/>
          <w:bCs/>
        </w:rPr>
        <w:t>growth expected</w:t>
      </w:r>
    </w:p>
    <w:p w14:paraId="0B4C5073" w14:textId="457DBDB8" w:rsidR="00465D16" w:rsidRPr="001C1FE6" w:rsidRDefault="001C473F">
      <w:pPr>
        <w:rPr>
          <w:rFonts w:ascii="Calibri" w:hAnsi="Calibri" w:cs="Calibri"/>
          <w:color w:val="000000" w:themeColor="text1"/>
        </w:rPr>
      </w:pPr>
      <w:r w:rsidRPr="00795158">
        <w:rPr>
          <w:rFonts w:ascii="Calibri" w:hAnsi="Calibri" w:cs="Calibri"/>
          <w:b/>
          <w:bCs/>
        </w:rPr>
        <w:t xml:space="preserve">London, </w:t>
      </w:r>
      <w:r w:rsidR="00795158" w:rsidRPr="00795158">
        <w:rPr>
          <w:rFonts w:ascii="Calibri" w:hAnsi="Calibri" w:cs="Calibri"/>
          <w:b/>
          <w:bCs/>
        </w:rPr>
        <w:t>18th</w:t>
      </w:r>
      <w:r w:rsidR="00F67654" w:rsidRPr="00795158">
        <w:rPr>
          <w:rFonts w:ascii="Calibri" w:hAnsi="Calibri" w:cs="Calibri"/>
          <w:b/>
          <w:bCs/>
        </w:rPr>
        <w:t xml:space="preserve"> </w:t>
      </w:r>
      <w:r w:rsidRPr="00795158">
        <w:rPr>
          <w:rFonts w:ascii="Calibri" w:hAnsi="Calibri" w:cs="Calibri"/>
          <w:b/>
          <w:bCs/>
        </w:rPr>
        <w:t xml:space="preserve">August 2025 </w:t>
      </w:r>
      <w:r w:rsidRPr="00795158">
        <w:rPr>
          <w:rFonts w:ascii="Calibri" w:hAnsi="Calibri" w:cs="Calibri"/>
        </w:rPr>
        <w:t xml:space="preserve">– The </w:t>
      </w:r>
      <w:r w:rsidR="003669E3" w:rsidRPr="00795158">
        <w:rPr>
          <w:rFonts w:ascii="Calibri" w:hAnsi="Calibri" w:cs="Calibri"/>
        </w:rPr>
        <w:t>u</w:t>
      </w:r>
      <w:r w:rsidRPr="00795158">
        <w:rPr>
          <w:rFonts w:ascii="Calibri" w:hAnsi="Calibri" w:cs="Calibri"/>
        </w:rPr>
        <w:t>ltra-low voltage</w:t>
      </w:r>
      <w:r w:rsidR="00E95F29" w:rsidRPr="00795158">
        <w:rPr>
          <w:rFonts w:ascii="Calibri" w:hAnsi="Calibri" w:cs="Calibri"/>
        </w:rPr>
        <w:t xml:space="preserve"> motors and drives</w:t>
      </w:r>
      <w:r w:rsidR="00E471B9" w:rsidRPr="00795158">
        <w:rPr>
          <w:rFonts w:ascii="Calibri" w:hAnsi="Calibri" w:cs="Calibri"/>
        </w:rPr>
        <w:t xml:space="preserve"> (ULV)</w:t>
      </w:r>
      <w:r w:rsidRPr="00795158">
        <w:rPr>
          <w:rFonts w:ascii="Calibri" w:hAnsi="Calibri" w:cs="Calibri"/>
        </w:rPr>
        <w:t xml:space="preserve"> market faced a challenging period in 2024 with </w:t>
      </w:r>
      <w:r w:rsidRPr="00795158">
        <w:rPr>
          <w:rFonts w:ascii="Calibri" w:hAnsi="Calibri" w:cs="Calibri"/>
          <w:color w:val="000000" w:themeColor="text1"/>
        </w:rPr>
        <w:t xml:space="preserve">global revenue growth of 0.1%. </w:t>
      </w:r>
      <w:r w:rsidR="00145646" w:rsidRPr="00795158">
        <w:rPr>
          <w:rFonts w:ascii="Calibri" w:hAnsi="Calibri" w:cs="Calibri"/>
          <w:color w:val="000000" w:themeColor="text1"/>
        </w:rPr>
        <w:t>This l</w:t>
      </w:r>
      <w:r w:rsidR="004201C8" w:rsidRPr="00795158">
        <w:rPr>
          <w:rFonts w:ascii="Calibri" w:hAnsi="Calibri" w:cs="Calibri"/>
          <w:color w:val="000000" w:themeColor="text1"/>
        </w:rPr>
        <w:t>ow growth</w:t>
      </w:r>
      <w:r w:rsidR="00145646" w:rsidRPr="00795158">
        <w:rPr>
          <w:rFonts w:ascii="Calibri" w:hAnsi="Calibri" w:cs="Calibri"/>
          <w:color w:val="000000" w:themeColor="text1"/>
        </w:rPr>
        <w:t xml:space="preserve"> period </w:t>
      </w:r>
      <w:r w:rsidR="00367A69" w:rsidRPr="00795158">
        <w:rPr>
          <w:rFonts w:ascii="Calibri" w:hAnsi="Calibri" w:cs="Calibri"/>
          <w:color w:val="000000" w:themeColor="text1"/>
        </w:rPr>
        <w:t xml:space="preserve">is an extension </w:t>
      </w:r>
      <w:r w:rsidRPr="00795158">
        <w:rPr>
          <w:rFonts w:ascii="Calibri" w:hAnsi="Calibri" w:cs="Calibri"/>
          <w:color w:val="000000" w:themeColor="text1"/>
        </w:rPr>
        <w:t>of the declining environment that began</w:t>
      </w:r>
      <w:r w:rsidR="00E0620E" w:rsidRPr="00795158">
        <w:rPr>
          <w:rFonts w:ascii="Calibri" w:hAnsi="Calibri" w:cs="Calibri"/>
          <w:color w:val="000000" w:themeColor="text1"/>
        </w:rPr>
        <w:t xml:space="preserve"> post-COVID </w:t>
      </w:r>
      <w:r w:rsidRPr="00795158">
        <w:rPr>
          <w:rFonts w:ascii="Calibri" w:hAnsi="Calibri" w:cs="Calibri"/>
          <w:color w:val="000000" w:themeColor="text1"/>
        </w:rPr>
        <w:t>in 2023.</w:t>
      </w:r>
      <w:r w:rsidR="00E471B9" w:rsidRPr="00795158">
        <w:rPr>
          <w:rFonts w:ascii="Calibri" w:hAnsi="Calibri" w:cs="Calibri"/>
          <w:color w:val="000000" w:themeColor="text1"/>
        </w:rPr>
        <w:t xml:space="preserve"> Macro-economic headwinds, ongoing</w:t>
      </w:r>
      <w:r w:rsidRPr="00795158">
        <w:rPr>
          <w:rFonts w:ascii="Calibri" w:hAnsi="Calibri" w:cs="Calibri"/>
          <w:color w:val="000000" w:themeColor="text1"/>
        </w:rPr>
        <w:t xml:space="preserve"> </w:t>
      </w:r>
      <w:r w:rsidR="00E471B9" w:rsidRPr="00795158">
        <w:rPr>
          <w:rFonts w:ascii="Calibri" w:hAnsi="Calibri" w:cs="Calibri"/>
          <w:color w:val="000000" w:themeColor="text1"/>
        </w:rPr>
        <w:t>inventory corrections,</w:t>
      </w:r>
      <w:r w:rsidR="00EB1C08" w:rsidRPr="00795158">
        <w:rPr>
          <w:rFonts w:ascii="Calibri" w:hAnsi="Calibri" w:cs="Calibri"/>
          <w:color w:val="000000" w:themeColor="text1"/>
        </w:rPr>
        <w:t xml:space="preserve"> and</w:t>
      </w:r>
      <w:r w:rsidR="00E471B9" w:rsidRPr="00795158">
        <w:rPr>
          <w:rFonts w:ascii="Calibri" w:hAnsi="Calibri" w:cs="Calibri"/>
          <w:color w:val="000000" w:themeColor="text1"/>
        </w:rPr>
        <w:t xml:space="preserve"> weaker-than-expected industrial activity across key automation sector</w:t>
      </w:r>
      <w:r w:rsidR="00EB1C08" w:rsidRPr="00795158">
        <w:rPr>
          <w:rFonts w:ascii="Calibri" w:hAnsi="Calibri" w:cs="Calibri"/>
          <w:color w:val="000000" w:themeColor="text1"/>
        </w:rPr>
        <w:t>s</w:t>
      </w:r>
      <w:r w:rsidR="00E471B9" w:rsidRPr="00795158">
        <w:rPr>
          <w:rFonts w:ascii="Calibri" w:hAnsi="Calibri" w:cs="Calibri"/>
          <w:color w:val="000000" w:themeColor="text1"/>
        </w:rPr>
        <w:t xml:space="preserve"> also contributed to the underwhelming performance of the ULV market in 2024.</w:t>
      </w:r>
    </w:p>
    <w:p w14:paraId="2F3835CE" w14:textId="10AD8505" w:rsidR="001C473F" w:rsidRPr="00D46351" w:rsidRDefault="001C473F">
      <w:pPr>
        <w:rPr>
          <w:rFonts w:ascii="Calibri" w:hAnsi="Calibri" w:cs="Calibri"/>
        </w:rPr>
      </w:pPr>
      <w:r w:rsidRPr="001C1FE6">
        <w:rPr>
          <w:rFonts w:ascii="Calibri" w:hAnsi="Calibri" w:cs="Calibri"/>
          <w:color w:val="000000" w:themeColor="text1"/>
        </w:rPr>
        <w:t>Whil</w:t>
      </w:r>
      <w:r w:rsidR="00755860" w:rsidRPr="001C1FE6">
        <w:rPr>
          <w:rFonts w:ascii="Calibri" w:hAnsi="Calibri" w:cs="Calibri"/>
          <w:color w:val="000000" w:themeColor="text1"/>
        </w:rPr>
        <w:t>e</w:t>
      </w:r>
      <w:r w:rsidRPr="001C1FE6">
        <w:rPr>
          <w:rFonts w:ascii="Calibri" w:hAnsi="Calibri" w:cs="Calibri"/>
          <w:color w:val="000000" w:themeColor="text1"/>
        </w:rPr>
        <w:t xml:space="preserve"> </w:t>
      </w:r>
      <w:r w:rsidR="004201C8" w:rsidRPr="001C1FE6">
        <w:rPr>
          <w:rFonts w:ascii="Calibri" w:hAnsi="Calibri" w:cs="Calibri"/>
          <w:color w:val="000000" w:themeColor="text1"/>
        </w:rPr>
        <w:t xml:space="preserve">2024 </w:t>
      </w:r>
      <w:r w:rsidRPr="001C1FE6">
        <w:rPr>
          <w:rFonts w:ascii="Calibri" w:hAnsi="Calibri" w:cs="Calibri"/>
          <w:color w:val="000000" w:themeColor="text1"/>
        </w:rPr>
        <w:t xml:space="preserve">wasn’t the rebound year that many had hoped for, </w:t>
      </w:r>
      <w:r w:rsidR="00183A07" w:rsidRPr="001C1FE6">
        <w:rPr>
          <w:rFonts w:ascii="Calibri" w:hAnsi="Calibri" w:cs="Calibri"/>
          <w:color w:val="000000" w:themeColor="text1"/>
        </w:rPr>
        <w:t xml:space="preserve">2025 is expected to be a year of growth, powered by </w:t>
      </w:r>
      <w:r w:rsidR="00645DD7" w:rsidRPr="001C1FE6">
        <w:rPr>
          <w:rFonts w:ascii="Calibri" w:hAnsi="Calibri" w:cs="Calibri"/>
          <w:color w:val="000000" w:themeColor="text1"/>
        </w:rPr>
        <w:t>battery-driven applications such as mobile robotics</w:t>
      </w:r>
      <w:r w:rsidRPr="001C1FE6">
        <w:rPr>
          <w:rFonts w:ascii="Calibri" w:hAnsi="Calibri" w:cs="Calibri"/>
          <w:color w:val="000000" w:themeColor="text1"/>
        </w:rPr>
        <w:t>.</w:t>
      </w:r>
      <w:r w:rsidR="00E471B9" w:rsidRPr="001C1FE6">
        <w:rPr>
          <w:rFonts w:ascii="Calibri" w:hAnsi="Calibri" w:cs="Calibri"/>
          <w:color w:val="000000" w:themeColor="text1"/>
        </w:rPr>
        <w:t xml:space="preserve"> 2025 will mark the beginning of a more </w:t>
      </w:r>
      <w:r w:rsidR="00E471B9" w:rsidRPr="00D46351">
        <w:rPr>
          <w:rFonts w:ascii="Calibri" w:hAnsi="Calibri" w:cs="Calibri"/>
        </w:rPr>
        <w:t>sustained period of growth for the ULV market, though with varied performance across the regions.</w:t>
      </w:r>
    </w:p>
    <w:p w14:paraId="06003A59" w14:textId="77777777" w:rsidR="00693FA2" w:rsidRDefault="001B2761" w:rsidP="002823B0">
      <w:pPr>
        <w:jc w:val="center"/>
        <w:rPr>
          <w:rFonts w:ascii="Calibri" w:hAnsi="Calibri" w:cs="Calibri"/>
          <w:i/>
          <w:iCs/>
          <w:sz w:val="18"/>
          <w:szCs w:val="18"/>
        </w:rPr>
      </w:pPr>
      <w:r>
        <w:rPr>
          <w:rFonts w:ascii="Calibri" w:hAnsi="Calibri" w:cs="Calibri"/>
          <w:noProof/>
        </w:rPr>
        <w:drawing>
          <wp:inline distT="0" distB="0" distL="0" distR="0" wp14:anchorId="6EC60B59" wp14:editId="7D620C52">
            <wp:extent cx="5029835" cy="2829282"/>
            <wp:effectExtent l="0" t="0" r="0" b="9525"/>
            <wp:docPr id="1114335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335976"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029835" cy="2829282"/>
                    </a:xfrm>
                    <a:prstGeom prst="rect">
                      <a:avLst/>
                    </a:prstGeom>
                    <a:noFill/>
                  </pic:spPr>
                </pic:pic>
              </a:graphicData>
            </a:graphic>
          </wp:inline>
        </w:drawing>
      </w:r>
    </w:p>
    <w:p w14:paraId="6B468762" w14:textId="5A262FAF" w:rsidR="00631E7A" w:rsidRPr="00D46351" w:rsidRDefault="00ED5073" w:rsidP="002823B0">
      <w:pPr>
        <w:jc w:val="center"/>
        <w:rPr>
          <w:rFonts w:ascii="Calibri" w:hAnsi="Calibri" w:cs="Calibri"/>
        </w:rPr>
      </w:pPr>
      <w:r>
        <w:rPr>
          <w:rFonts w:ascii="Calibri" w:hAnsi="Calibri" w:cs="Calibri"/>
          <w:i/>
          <w:iCs/>
          <w:sz w:val="18"/>
          <w:szCs w:val="18"/>
        </w:rPr>
        <w:t>Recovery and a return to steady growth is forecast for the ULV market from 2025</w:t>
      </w:r>
    </w:p>
    <w:p w14:paraId="1F14C6AF" w14:textId="16D1A629" w:rsidR="00E471B9" w:rsidRPr="00D46351" w:rsidRDefault="007E5B32" w:rsidP="25C01FD3">
      <w:pPr>
        <w:rPr>
          <w:rFonts w:ascii="Calibri" w:hAnsi="Calibri" w:cs="Calibri"/>
          <w:b/>
          <w:bCs/>
        </w:rPr>
      </w:pPr>
      <w:r>
        <w:rPr>
          <w:rFonts w:ascii="Calibri" w:hAnsi="Calibri" w:cs="Calibri"/>
          <w:b/>
          <w:bCs/>
        </w:rPr>
        <w:t>R</w:t>
      </w:r>
      <w:r w:rsidR="00E471B9" w:rsidRPr="00D46351">
        <w:rPr>
          <w:rFonts w:ascii="Calibri" w:hAnsi="Calibri" w:cs="Calibri"/>
          <w:b/>
          <w:bCs/>
        </w:rPr>
        <w:t>egional perspective</w:t>
      </w:r>
      <w:r w:rsidR="00C266B2">
        <w:rPr>
          <w:rFonts w:ascii="Calibri" w:hAnsi="Calibri" w:cs="Calibri"/>
          <w:b/>
          <w:bCs/>
        </w:rPr>
        <w:t>s</w:t>
      </w:r>
      <w:r w:rsidR="00E471B9" w:rsidRPr="00D46351">
        <w:rPr>
          <w:rFonts w:ascii="Calibri" w:hAnsi="Calibri" w:cs="Calibri"/>
          <w:b/>
          <w:bCs/>
        </w:rPr>
        <w:t xml:space="preserve"> </w:t>
      </w:r>
    </w:p>
    <w:p w14:paraId="010A6A4E" w14:textId="675E58D0" w:rsidR="001563E9" w:rsidRPr="00D46351" w:rsidRDefault="00C02BD4">
      <w:pPr>
        <w:rPr>
          <w:rFonts w:ascii="Calibri" w:hAnsi="Calibri" w:cs="Calibri"/>
        </w:rPr>
      </w:pPr>
      <w:r w:rsidRPr="00D46351">
        <w:rPr>
          <w:rFonts w:ascii="Calibri" w:hAnsi="Calibri" w:cs="Calibri"/>
        </w:rPr>
        <w:t xml:space="preserve">The overall ULV market grew 0.1% in 2024, however, performance across the different regions </w:t>
      </w:r>
      <w:r w:rsidR="00ED5622" w:rsidRPr="00D46351">
        <w:rPr>
          <w:rFonts w:ascii="Calibri" w:hAnsi="Calibri" w:cs="Calibri"/>
        </w:rPr>
        <w:t>was highly variable</w:t>
      </w:r>
      <w:r w:rsidRPr="00D46351">
        <w:rPr>
          <w:rFonts w:ascii="Calibri" w:hAnsi="Calibri" w:cs="Calibri"/>
        </w:rPr>
        <w:t xml:space="preserve">. </w:t>
      </w:r>
      <w:r w:rsidR="00E471B9" w:rsidRPr="00D46351">
        <w:rPr>
          <w:rFonts w:ascii="Calibri" w:hAnsi="Calibri" w:cs="Calibri"/>
        </w:rPr>
        <w:t>APAC</w:t>
      </w:r>
      <w:r w:rsidRPr="00D46351">
        <w:rPr>
          <w:rFonts w:ascii="Calibri" w:hAnsi="Calibri" w:cs="Calibri"/>
        </w:rPr>
        <w:t xml:space="preserve"> </w:t>
      </w:r>
      <w:r w:rsidR="00E471B9" w:rsidRPr="00D46351">
        <w:rPr>
          <w:rFonts w:ascii="Calibri" w:hAnsi="Calibri" w:cs="Calibri"/>
        </w:rPr>
        <w:t xml:space="preserve">was strongest with 2.7% growth, whilst </w:t>
      </w:r>
      <w:proofErr w:type="gramStart"/>
      <w:r w:rsidR="00E471B9" w:rsidRPr="00D46351">
        <w:rPr>
          <w:rFonts w:ascii="Calibri" w:hAnsi="Calibri" w:cs="Calibri"/>
        </w:rPr>
        <w:t>E</w:t>
      </w:r>
      <w:r w:rsidRPr="00D46351">
        <w:rPr>
          <w:rFonts w:ascii="Calibri" w:hAnsi="Calibri" w:cs="Calibri"/>
        </w:rPr>
        <w:t>MEA</w:t>
      </w:r>
      <w:r w:rsidR="00E471B9" w:rsidRPr="00D46351">
        <w:rPr>
          <w:rFonts w:ascii="Calibri" w:hAnsi="Calibri" w:cs="Calibri"/>
        </w:rPr>
        <w:t>,</w:t>
      </w:r>
      <w:proofErr w:type="gramEnd"/>
      <w:r w:rsidR="00E471B9" w:rsidRPr="00D46351">
        <w:rPr>
          <w:rFonts w:ascii="Calibri" w:hAnsi="Calibri" w:cs="Calibri"/>
        </w:rPr>
        <w:t xml:space="preserve"> w</w:t>
      </w:r>
      <w:r w:rsidRPr="00D46351">
        <w:rPr>
          <w:rFonts w:ascii="Calibri" w:hAnsi="Calibri" w:cs="Calibri"/>
        </w:rPr>
        <w:t>as</w:t>
      </w:r>
      <w:r w:rsidR="00E471B9" w:rsidRPr="00D46351">
        <w:rPr>
          <w:rFonts w:ascii="Calibri" w:hAnsi="Calibri" w:cs="Calibri"/>
        </w:rPr>
        <w:t xml:space="preserve"> the worst performing region contracting -2</w:t>
      </w:r>
      <w:r w:rsidRPr="00D46351">
        <w:rPr>
          <w:rFonts w:ascii="Calibri" w:hAnsi="Calibri" w:cs="Calibri"/>
        </w:rPr>
        <w:t>.</w:t>
      </w:r>
      <w:r w:rsidR="00E471B9" w:rsidRPr="00D46351">
        <w:rPr>
          <w:rFonts w:ascii="Calibri" w:hAnsi="Calibri" w:cs="Calibri"/>
        </w:rPr>
        <w:t>1%.</w:t>
      </w:r>
      <w:r w:rsidRPr="00D46351">
        <w:rPr>
          <w:rFonts w:ascii="Calibri" w:hAnsi="Calibri" w:cs="Calibri"/>
        </w:rPr>
        <w:t xml:space="preserve"> </w:t>
      </w:r>
      <w:r w:rsidR="005469F1" w:rsidRPr="00D46351">
        <w:rPr>
          <w:rFonts w:ascii="Calibri" w:hAnsi="Calibri" w:cs="Calibri"/>
        </w:rPr>
        <w:t xml:space="preserve">Growth in the APAC region </w:t>
      </w:r>
      <w:r w:rsidR="00FF74A4" w:rsidRPr="00D46351">
        <w:rPr>
          <w:rFonts w:ascii="Calibri" w:hAnsi="Calibri" w:cs="Calibri"/>
        </w:rPr>
        <w:t>was</w:t>
      </w:r>
      <w:r w:rsidR="005469F1" w:rsidRPr="00D46351">
        <w:rPr>
          <w:rFonts w:ascii="Calibri" w:hAnsi="Calibri" w:cs="Calibri"/>
        </w:rPr>
        <w:t xml:space="preserve"> supported</w:t>
      </w:r>
      <w:r w:rsidRPr="00D46351">
        <w:rPr>
          <w:rFonts w:ascii="Calibri" w:hAnsi="Calibri" w:cs="Calibri"/>
        </w:rPr>
        <w:t xml:space="preserve"> through </w:t>
      </w:r>
      <w:r w:rsidR="00167F9C" w:rsidRPr="00D46351">
        <w:rPr>
          <w:rFonts w:ascii="Calibri" w:hAnsi="Calibri" w:cs="Calibri"/>
        </w:rPr>
        <w:t xml:space="preserve">significant growth in </w:t>
      </w:r>
      <w:r w:rsidRPr="00D46351">
        <w:rPr>
          <w:rFonts w:ascii="Calibri" w:hAnsi="Calibri" w:cs="Calibri"/>
        </w:rPr>
        <w:t>nic</w:t>
      </w:r>
      <w:r w:rsidR="001563E9" w:rsidRPr="00D46351">
        <w:rPr>
          <w:rFonts w:ascii="Calibri" w:hAnsi="Calibri" w:cs="Calibri"/>
        </w:rPr>
        <w:t>h</w:t>
      </w:r>
      <w:r w:rsidRPr="00D46351">
        <w:rPr>
          <w:rFonts w:ascii="Calibri" w:hAnsi="Calibri" w:cs="Calibri"/>
        </w:rPr>
        <w:t>e industries</w:t>
      </w:r>
      <w:r w:rsidR="00785221" w:rsidRPr="00D46351">
        <w:rPr>
          <w:rFonts w:ascii="Calibri" w:hAnsi="Calibri" w:cs="Calibri"/>
        </w:rPr>
        <w:t xml:space="preserve"> in countries</w:t>
      </w:r>
      <w:r w:rsidRPr="00D46351">
        <w:rPr>
          <w:rFonts w:ascii="Calibri" w:hAnsi="Calibri" w:cs="Calibri"/>
        </w:rPr>
        <w:t xml:space="preserve"> such as South Korea, India and Taiwan. APAC </w:t>
      </w:r>
      <w:r w:rsidR="00183036" w:rsidRPr="00D46351">
        <w:rPr>
          <w:rFonts w:ascii="Calibri" w:hAnsi="Calibri" w:cs="Calibri"/>
        </w:rPr>
        <w:t xml:space="preserve">is also well </w:t>
      </w:r>
      <w:r w:rsidRPr="00D46351">
        <w:rPr>
          <w:rFonts w:ascii="Calibri" w:hAnsi="Calibri" w:cs="Calibri"/>
        </w:rPr>
        <w:t>positioned for continued leadership in battery powered and high efficiency solutions which will help the region to grow further in 2025.</w:t>
      </w:r>
      <w:r w:rsidR="001563E9" w:rsidRPr="00D46351">
        <w:rPr>
          <w:rFonts w:ascii="Calibri" w:hAnsi="Calibri" w:cs="Calibri"/>
        </w:rPr>
        <w:t xml:space="preserve"> </w:t>
      </w:r>
    </w:p>
    <w:p w14:paraId="4C7CD102" w14:textId="1338D4A7" w:rsidR="00C02BD4" w:rsidRPr="00D46351" w:rsidRDefault="00C02BD4">
      <w:pPr>
        <w:rPr>
          <w:rFonts w:ascii="Calibri" w:hAnsi="Calibri" w:cs="Calibri"/>
        </w:rPr>
      </w:pPr>
      <w:r w:rsidRPr="00D46351">
        <w:rPr>
          <w:rFonts w:ascii="Calibri" w:hAnsi="Calibri" w:cs="Calibri"/>
        </w:rPr>
        <w:t>Whilst APAC has substantial growth and a positive</w:t>
      </w:r>
      <w:r w:rsidR="009500D1" w:rsidRPr="00D46351">
        <w:rPr>
          <w:rFonts w:ascii="Calibri" w:hAnsi="Calibri" w:cs="Calibri"/>
        </w:rPr>
        <w:t xml:space="preserve"> </w:t>
      </w:r>
      <w:r w:rsidRPr="00D46351">
        <w:rPr>
          <w:rFonts w:ascii="Calibri" w:hAnsi="Calibri" w:cs="Calibri"/>
        </w:rPr>
        <w:t xml:space="preserve">outlook, the Americas and EMEA regions contracted in 2024. The Americas contracted by -1.2% due to sharp slowdowns in automated sortation systems and cutting machinery. However, softening interest rates and greater clarity on trade policies are expected to </w:t>
      </w:r>
      <w:r w:rsidRPr="00D46351">
        <w:rPr>
          <w:rFonts w:ascii="Calibri" w:hAnsi="Calibri" w:cs="Calibri"/>
        </w:rPr>
        <w:lastRenderedPageBreak/>
        <w:t>support a recovery in 2025.</w:t>
      </w:r>
      <w:r w:rsidR="001563E9" w:rsidRPr="00D46351">
        <w:rPr>
          <w:rFonts w:ascii="Calibri" w:hAnsi="Calibri" w:cs="Calibri"/>
        </w:rPr>
        <w:t xml:space="preserve"> </w:t>
      </w:r>
      <w:r w:rsidR="00D93654" w:rsidRPr="00D46351">
        <w:rPr>
          <w:rFonts w:ascii="Calibri" w:hAnsi="Calibri" w:cs="Calibri"/>
        </w:rPr>
        <w:t>Similarly,</w:t>
      </w:r>
      <w:r w:rsidRPr="00D46351">
        <w:rPr>
          <w:rFonts w:ascii="Calibri" w:hAnsi="Calibri" w:cs="Calibri"/>
        </w:rPr>
        <w:t xml:space="preserve"> the EMEA region saw a -2.1% market contraction</w:t>
      </w:r>
      <w:r w:rsidR="00D93654" w:rsidRPr="00D46351">
        <w:rPr>
          <w:rFonts w:ascii="Calibri" w:hAnsi="Calibri" w:cs="Calibri"/>
        </w:rPr>
        <w:t xml:space="preserve"> due to lingering inflation, geopolitical instability and weak manufacturing sentiment. Germany and the UK</w:t>
      </w:r>
      <w:r w:rsidR="004B0599" w:rsidRPr="00D46351">
        <w:rPr>
          <w:rFonts w:ascii="Calibri" w:hAnsi="Calibri" w:cs="Calibri"/>
        </w:rPr>
        <w:t xml:space="preserve"> were the</w:t>
      </w:r>
      <w:r w:rsidR="00D93654" w:rsidRPr="00D46351">
        <w:rPr>
          <w:rFonts w:ascii="Calibri" w:hAnsi="Calibri" w:cs="Calibri"/>
        </w:rPr>
        <w:t xml:space="preserve"> weakest </w:t>
      </w:r>
      <w:r w:rsidR="004B0599" w:rsidRPr="00D46351">
        <w:rPr>
          <w:rFonts w:ascii="Calibri" w:hAnsi="Calibri" w:cs="Calibri"/>
        </w:rPr>
        <w:t>performers and acted as a drag on the region</w:t>
      </w:r>
      <w:r w:rsidR="00B27FD4">
        <w:rPr>
          <w:rFonts w:ascii="Calibri" w:hAnsi="Calibri" w:cs="Calibri"/>
        </w:rPr>
        <w:t xml:space="preserve"> overall</w:t>
      </w:r>
      <w:r w:rsidR="004B0599" w:rsidRPr="00D46351">
        <w:rPr>
          <w:rFonts w:ascii="Calibri" w:hAnsi="Calibri" w:cs="Calibri"/>
        </w:rPr>
        <w:t>.</w:t>
      </w:r>
      <w:r w:rsidR="00D339D5" w:rsidRPr="00D46351">
        <w:rPr>
          <w:rFonts w:ascii="Calibri" w:hAnsi="Calibri" w:cs="Calibri"/>
        </w:rPr>
        <w:t xml:space="preserve"> However,</w:t>
      </w:r>
      <w:r w:rsidR="00D93654" w:rsidRPr="00D46351">
        <w:rPr>
          <w:rFonts w:ascii="Calibri" w:hAnsi="Calibri" w:cs="Calibri"/>
        </w:rPr>
        <w:t xml:space="preserve"> demand for mobile robotics and food and beverage machinery</w:t>
      </w:r>
      <w:r w:rsidR="00D339D5" w:rsidRPr="00D46351">
        <w:rPr>
          <w:rFonts w:ascii="Calibri" w:hAnsi="Calibri" w:cs="Calibri"/>
        </w:rPr>
        <w:t xml:space="preserve"> was steady</w:t>
      </w:r>
      <w:r w:rsidR="00946883" w:rsidRPr="00D46351">
        <w:rPr>
          <w:rFonts w:ascii="Calibri" w:hAnsi="Calibri" w:cs="Calibri"/>
        </w:rPr>
        <w:t>. This may be a signal as to where growth will return.</w:t>
      </w:r>
    </w:p>
    <w:p w14:paraId="3EAF5315" w14:textId="44BDBAEA" w:rsidR="00D93654" w:rsidRPr="00D46351" w:rsidRDefault="00D93654">
      <w:pPr>
        <w:rPr>
          <w:rFonts w:ascii="Calibri" w:hAnsi="Calibri" w:cs="Calibri"/>
        </w:rPr>
      </w:pPr>
      <w:r w:rsidRPr="00D46351">
        <w:rPr>
          <w:rFonts w:ascii="Calibri" w:hAnsi="Calibri" w:cs="Calibri"/>
        </w:rPr>
        <w:t xml:space="preserve">For all regions, destocking remained a key factor in 2024. The excess of inventory from 2021/2022 continued which resulted in limited new orders. However, this issue is nearly resolved with demand </w:t>
      </w:r>
      <w:r w:rsidR="00C865B5" w:rsidRPr="00D46351">
        <w:rPr>
          <w:rFonts w:ascii="Calibri" w:hAnsi="Calibri" w:cs="Calibri"/>
        </w:rPr>
        <w:t xml:space="preserve">expected </w:t>
      </w:r>
      <w:r w:rsidRPr="00D46351">
        <w:rPr>
          <w:rFonts w:ascii="Calibri" w:hAnsi="Calibri" w:cs="Calibri"/>
        </w:rPr>
        <w:t xml:space="preserve">to increase </w:t>
      </w:r>
      <w:r w:rsidR="00FF74A4" w:rsidRPr="00D46351">
        <w:rPr>
          <w:rFonts w:ascii="Calibri" w:hAnsi="Calibri" w:cs="Calibri"/>
        </w:rPr>
        <w:t>in</w:t>
      </w:r>
      <w:r w:rsidRPr="00D46351">
        <w:rPr>
          <w:rFonts w:ascii="Calibri" w:hAnsi="Calibri" w:cs="Calibri"/>
        </w:rPr>
        <w:t xml:space="preserve"> 2025.</w:t>
      </w:r>
    </w:p>
    <w:p w14:paraId="01785F1C" w14:textId="77777777" w:rsidR="00CA01B7" w:rsidRPr="002823B0" w:rsidRDefault="00705DDA">
      <w:pPr>
        <w:rPr>
          <w:rFonts w:ascii="Calibri" w:hAnsi="Calibri" w:cs="Calibri"/>
          <w:b/>
          <w:bCs/>
        </w:rPr>
      </w:pPr>
      <w:r w:rsidRPr="002823B0">
        <w:rPr>
          <w:rFonts w:ascii="Calibri" w:hAnsi="Calibri" w:cs="Calibri"/>
          <w:b/>
          <w:bCs/>
        </w:rPr>
        <w:t>Strong signs for ULV recovery/growth in 2025</w:t>
      </w:r>
    </w:p>
    <w:p w14:paraId="24E6D8FD" w14:textId="1A8149AA" w:rsidR="00D93654" w:rsidRPr="00D46351" w:rsidRDefault="00327404">
      <w:pPr>
        <w:rPr>
          <w:rFonts w:ascii="Calibri" w:hAnsi="Calibri" w:cs="Calibri"/>
        </w:rPr>
      </w:pPr>
      <w:r w:rsidRPr="00D46351">
        <w:rPr>
          <w:rFonts w:ascii="Calibri" w:hAnsi="Calibri" w:cs="Calibri"/>
        </w:rPr>
        <w:t>Interact Analysis forecasts a recovery in the ULV market during 2025,</w:t>
      </w:r>
      <w:r w:rsidR="00705DDA" w:rsidRPr="00D46351">
        <w:rPr>
          <w:rFonts w:ascii="Calibri" w:hAnsi="Calibri" w:cs="Calibri"/>
        </w:rPr>
        <w:t xml:space="preserve"> primarily due to battery-driven application</w:t>
      </w:r>
      <w:r w:rsidRPr="00D46351">
        <w:rPr>
          <w:rFonts w:ascii="Calibri" w:hAnsi="Calibri" w:cs="Calibri"/>
        </w:rPr>
        <w:t>s</w:t>
      </w:r>
      <w:r w:rsidR="00705DDA" w:rsidRPr="00D46351">
        <w:rPr>
          <w:rFonts w:ascii="Calibri" w:hAnsi="Calibri" w:cs="Calibri"/>
        </w:rPr>
        <w:t xml:space="preserve">, </w:t>
      </w:r>
      <w:r w:rsidRPr="00D46351">
        <w:rPr>
          <w:rFonts w:ascii="Calibri" w:hAnsi="Calibri" w:cs="Calibri"/>
        </w:rPr>
        <w:t>such as</w:t>
      </w:r>
      <w:r w:rsidR="00705DDA" w:rsidRPr="00D46351">
        <w:rPr>
          <w:rFonts w:ascii="Calibri" w:hAnsi="Calibri" w:cs="Calibri"/>
        </w:rPr>
        <w:t xml:space="preserve"> mobile robotics</w:t>
      </w:r>
      <w:r w:rsidRPr="00D46351">
        <w:rPr>
          <w:rFonts w:ascii="Calibri" w:hAnsi="Calibri" w:cs="Calibri"/>
        </w:rPr>
        <w:t xml:space="preserve">. </w:t>
      </w:r>
      <w:r w:rsidR="005C3EDD" w:rsidRPr="00D46351">
        <w:rPr>
          <w:rFonts w:ascii="Calibri" w:hAnsi="Calibri" w:cs="Calibri"/>
        </w:rPr>
        <w:t>There are signs of recalibration, particularly in APAC and the Americas regions</w:t>
      </w:r>
      <w:r w:rsidR="00631E7A" w:rsidRPr="00D46351">
        <w:rPr>
          <w:rFonts w:ascii="Calibri" w:hAnsi="Calibri" w:cs="Calibri"/>
        </w:rPr>
        <w:t xml:space="preserve">, leading to </w:t>
      </w:r>
      <w:r w:rsidR="00431606" w:rsidRPr="00D46351">
        <w:rPr>
          <w:rFonts w:ascii="Calibri" w:hAnsi="Calibri" w:cs="Calibri"/>
        </w:rPr>
        <w:t xml:space="preserve">predictions of </w:t>
      </w:r>
      <w:r w:rsidR="005A00EB" w:rsidRPr="00D46351">
        <w:rPr>
          <w:rFonts w:ascii="Calibri" w:hAnsi="Calibri" w:cs="Calibri"/>
        </w:rPr>
        <w:t xml:space="preserve">a </w:t>
      </w:r>
      <w:r w:rsidR="00431606" w:rsidRPr="00D46351">
        <w:rPr>
          <w:rFonts w:ascii="Calibri" w:hAnsi="Calibri" w:cs="Calibri"/>
        </w:rPr>
        <w:t>sustained period of growth</w:t>
      </w:r>
      <w:r w:rsidR="005A00EB" w:rsidRPr="00D46351">
        <w:rPr>
          <w:rFonts w:ascii="Calibri" w:hAnsi="Calibri" w:cs="Calibri"/>
        </w:rPr>
        <w:t xml:space="preserve"> in the ULV sector</w:t>
      </w:r>
      <w:r w:rsidR="002C4E33" w:rsidRPr="00D46351">
        <w:rPr>
          <w:rFonts w:ascii="Calibri" w:hAnsi="Calibri" w:cs="Calibri"/>
        </w:rPr>
        <w:t>, although with</w:t>
      </w:r>
      <w:r w:rsidR="00643E83" w:rsidRPr="00D46351">
        <w:rPr>
          <w:rFonts w:ascii="Calibri" w:hAnsi="Calibri" w:cs="Calibri"/>
        </w:rPr>
        <w:t xml:space="preserve"> some fluctuations in performance between different regions and industry sectors</w:t>
      </w:r>
      <w:r w:rsidR="005C3EDD" w:rsidRPr="00D46351">
        <w:rPr>
          <w:rFonts w:ascii="Calibri" w:hAnsi="Calibri" w:cs="Calibri"/>
        </w:rPr>
        <w:t xml:space="preserve">. </w:t>
      </w:r>
      <w:r w:rsidRPr="00D46351">
        <w:rPr>
          <w:rFonts w:ascii="Calibri" w:hAnsi="Calibri" w:cs="Calibri"/>
        </w:rPr>
        <w:t>The anticipated recovery is like</w:t>
      </w:r>
      <w:r w:rsidR="00C865B5" w:rsidRPr="00D46351">
        <w:rPr>
          <w:rFonts w:ascii="Calibri" w:hAnsi="Calibri" w:cs="Calibri"/>
        </w:rPr>
        <w:t>ly</w:t>
      </w:r>
      <w:r w:rsidRPr="00D46351">
        <w:rPr>
          <w:rFonts w:ascii="Calibri" w:hAnsi="Calibri" w:cs="Calibri"/>
        </w:rPr>
        <w:t xml:space="preserve"> to be supported by </w:t>
      </w:r>
      <w:r w:rsidR="00705DDA" w:rsidRPr="00D46351">
        <w:rPr>
          <w:rFonts w:ascii="Calibri" w:hAnsi="Calibri" w:cs="Calibri"/>
        </w:rPr>
        <w:t>softening interest rates and greater clarity on trade polic</w:t>
      </w:r>
      <w:r w:rsidR="00C94CB3" w:rsidRPr="00D46351">
        <w:rPr>
          <w:rFonts w:ascii="Calibri" w:hAnsi="Calibri" w:cs="Calibri"/>
        </w:rPr>
        <w:t>ies</w:t>
      </w:r>
      <w:r w:rsidR="00C865B5" w:rsidRPr="00D46351">
        <w:rPr>
          <w:rFonts w:ascii="Calibri" w:hAnsi="Calibri" w:cs="Calibri"/>
        </w:rPr>
        <w:t>, as well as the end of the period of destocking</w:t>
      </w:r>
      <w:r w:rsidR="005E0140" w:rsidRPr="00D46351">
        <w:rPr>
          <w:rFonts w:ascii="Calibri" w:hAnsi="Calibri" w:cs="Calibri"/>
        </w:rPr>
        <w:t xml:space="preserve">, as </w:t>
      </w:r>
      <w:r w:rsidR="00705DDA" w:rsidRPr="00D46351">
        <w:rPr>
          <w:rFonts w:ascii="Calibri" w:hAnsi="Calibri" w:cs="Calibri"/>
        </w:rPr>
        <w:t>demand signals and purchasing behavior align more closel</w:t>
      </w:r>
      <w:r w:rsidR="005A00EB" w:rsidRPr="00D46351">
        <w:rPr>
          <w:rFonts w:ascii="Calibri" w:hAnsi="Calibri" w:cs="Calibri"/>
        </w:rPr>
        <w:t>y</w:t>
      </w:r>
      <w:r w:rsidR="00705DDA" w:rsidRPr="00D46351">
        <w:rPr>
          <w:rFonts w:ascii="Calibri" w:hAnsi="Calibri" w:cs="Calibri"/>
        </w:rPr>
        <w:t xml:space="preserve"> </w:t>
      </w:r>
      <w:r w:rsidR="005E0140" w:rsidRPr="00D46351">
        <w:rPr>
          <w:rFonts w:ascii="Calibri" w:hAnsi="Calibri" w:cs="Calibri"/>
        </w:rPr>
        <w:t>through the year.</w:t>
      </w:r>
      <w:r w:rsidR="00E27844" w:rsidRPr="00D46351">
        <w:rPr>
          <w:rFonts w:ascii="Calibri" w:hAnsi="Calibri" w:cs="Calibri"/>
        </w:rPr>
        <w:t xml:space="preserve"> </w:t>
      </w:r>
      <w:r w:rsidR="002C4E33" w:rsidRPr="00D46351">
        <w:rPr>
          <w:rFonts w:ascii="Calibri" w:hAnsi="Calibri" w:cs="Calibri"/>
        </w:rPr>
        <w:t xml:space="preserve">Growth of </w:t>
      </w:r>
      <w:r w:rsidR="009C0A64" w:rsidRPr="00D46351">
        <w:rPr>
          <w:rFonts w:ascii="Calibri" w:hAnsi="Calibri" w:cs="Calibri"/>
        </w:rPr>
        <w:t xml:space="preserve">4.9% is anticipated for motors in </w:t>
      </w:r>
      <w:r w:rsidR="00B962D9" w:rsidRPr="00D46351">
        <w:rPr>
          <w:rFonts w:ascii="Calibri" w:hAnsi="Calibri" w:cs="Calibri"/>
        </w:rPr>
        <w:t>2025</w:t>
      </w:r>
      <w:r w:rsidR="009C0A64" w:rsidRPr="00D46351">
        <w:rPr>
          <w:rFonts w:ascii="Calibri" w:hAnsi="Calibri" w:cs="Calibri"/>
        </w:rPr>
        <w:t xml:space="preserve"> and 4.3</w:t>
      </w:r>
      <w:r w:rsidR="001201D4" w:rsidRPr="00D46351">
        <w:rPr>
          <w:rFonts w:ascii="Calibri" w:hAnsi="Calibri" w:cs="Calibri"/>
        </w:rPr>
        <w:t xml:space="preserve">% for drives, supported by </w:t>
      </w:r>
      <w:r w:rsidR="00B962D9" w:rsidRPr="00D46351">
        <w:rPr>
          <w:rFonts w:ascii="Calibri" w:hAnsi="Calibri" w:cs="Calibri"/>
        </w:rPr>
        <w:t>re</w:t>
      </w:r>
      <w:r w:rsidR="001201D4" w:rsidRPr="00D46351">
        <w:rPr>
          <w:rFonts w:ascii="Calibri" w:hAnsi="Calibri" w:cs="Calibri"/>
        </w:rPr>
        <w:t>new</w:t>
      </w:r>
      <w:r w:rsidR="00B962D9" w:rsidRPr="00D46351">
        <w:rPr>
          <w:rFonts w:ascii="Calibri" w:hAnsi="Calibri" w:cs="Calibri"/>
        </w:rPr>
        <w:t xml:space="preserve">ed investment in industrial automation and growing adoption of digitally integrated systems. </w:t>
      </w:r>
    </w:p>
    <w:p w14:paraId="0E31391E" w14:textId="58903798" w:rsidR="001563E9" w:rsidRPr="00D46351" w:rsidRDefault="001563E9" w:rsidP="002823B0">
      <w:pPr>
        <w:spacing w:after="0" w:line="240" w:lineRule="auto"/>
        <w:rPr>
          <w:rFonts w:ascii="Calibri" w:hAnsi="Calibri" w:cs="Calibri"/>
        </w:rPr>
      </w:pPr>
      <w:r w:rsidRPr="00D46351">
        <w:rPr>
          <w:rFonts w:ascii="Calibri" w:hAnsi="Calibri" w:cs="Calibri"/>
          <w:b/>
          <w:bCs/>
        </w:rPr>
        <w:t>Blake Griffin, Research Manager at Interact Analysis</w:t>
      </w:r>
      <w:r w:rsidRPr="00D46351">
        <w:rPr>
          <w:rFonts w:ascii="Calibri" w:hAnsi="Calibri" w:cs="Calibri"/>
        </w:rPr>
        <w:t>, commented: “</w:t>
      </w:r>
      <w:r w:rsidRPr="00D46351">
        <w:rPr>
          <w:rFonts w:ascii="Calibri" w:hAnsi="Calibri" w:cs="Calibri"/>
          <w:i/>
          <w:iCs/>
        </w:rPr>
        <w:t xml:space="preserve">2024 marked a year of </w:t>
      </w:r>
      <w:r w:rsidR="00EA009A">
        <w:rPr>
          <w:rFonts w:ascii="Calibri" w:hAnsi="Calibri" w:cs="Calibri"/>
          <w:i/>
          <w:iCs/>
        </w:rPr>
        <w:t xml:space="preserve">stability </w:t>
      </w:r>
      <w:r w:rsidRPr="00D46351">
        <w:rPr>
          <w:rFonts w:ascii="Calibri" w:hAnsi="Calibri" w:cs="Calibri"/>
          <w:i/>
          <w:iCs/>
        </w:rPr>
        <w:t>for the ultra-low voltage motors and drives market</w:t>
      </w:r>
      <w:r w:rsidR="00EA009A">
        <w:rPr>
          <w:rFonts w:ascii="Calibri" w:hAnsi="Calibri" w:cs="Calibri"/>
          <w:i/>
          <w:iCs/>
        </w:rPr>
        <w:t xml:space="preserve"> overall</w:t>
      </w:r>
      <w:r w:rsidRPr="00D46351">
        <w:rPr>
          <w:rFonts w:ascii="Calibri" w:hAnsi="Calibri" w:cs="Calibri"/>
          <w:i/>
          <w:iCs/>
        </w:rPr>
        <w:t xml:space="preserve">. However, the </w:t>
      </w:r>
      <w:r w:rsidR="00F53199">
        <w:rPr>
          <w:rFonts w:ascii="Calibri" w:hAnsi="Calibri" w:cs="Calibri"/>
          <w:i/>
          <w:iCs/>
        </w:rPr>
        <w:t>slowdown</w:t>
      </w:r>
      <w:r w:rsidRPr="00D46351">
        <w:rPr>
          <w:rFonts w:ascii="Calibri" w:hAnsi="Calibri" w:cs="Calibri"/>
          <w:i/>
          <w:iCs/>
        </w:rPr>
        <w:t>, while painful, may have cleared the way for renewed investment and strategic recalibration. Stabilizing trends in core sector</w:t>
      </w:r>
      <w:r w:rsidR="00BC7EBC" w:rsidRPr="00D46351">
        <w:rPr>
          <w:rFonts w:ascii="Calibri" w:hAnsi="Calibri" w:cs="Calibri"/>
          <w:i/>
          <w:iCs/>
        </w:rPr>
        <w:t>s</w:t>
      </w:r>
      <w:r w:rsidRPr="00D46351">
        <w:rPr>
          <w:rFonts w:ascii="Calibri" w:hAnsi="Calibri" w:cs="Calibri"/>
          <w:i/>
          <w:iCs/>
        </w:rPr>
        <w:t xml:space="preserve"> suggest that the worst is behind</w:t>
      </w:r>
      <w:r w:rsidR="00BC7EBC" w:rsidRPr="00D46351">
        <w:rPr>
          <w:rFonts w:ascii="Calibri" w:hAnsi="Calibri" w:cs="Calibri"/>
          <w:i/>
          <w:iCs/>
        </w:rPr>
        <w:t xml:space="preserve"> us</w:t>
      </w:r>
      <w:r w:rsidRPr="00D46351">
        <w:rPr>
          <w:rFonts w:ascii="Calibri" w:hAnsi="Calibri" w:cs="Calibri"/>
          <w:i/>
          <w:iCs/>
        </w:rPr>
        <w:t xml:space="preserve"> and the market is gradually repositioning for a more sustained rebound in 2025.</w:t>
      </w:r>
      <w:r w:rsidRPr="00D46351">
        <w:rPr>
          <w:rFonts w:ascii="Calibri" w:hAnsi="Calibri" w:cs="Calibri"/>
        </w:rPr>
        <w:t xml:space="preserve">” </w:t>
      </w:r>
    </w:p>
    <w:p w14:paraId="7F12B883" w14:textId="1F0A4165" w:rsidR="00CA151A" w:rsidRPr="002823B0" w:rsidRDefault="00CA151A" w:rsidP="002823B0">
      <w:pPr>
        <w:jc w:val="center"/>
        <w:rPr>
          <w:rFonts w:ascii="Calibri" w:hAnsi="Calibri" w:cs="Calibri"/>
          <w:b/>
          <w:bCs/>
        </w:rPr>
      </w:pPr>
      <w:r w:rsidRPr="002823B0">
        <w:rPr>
          <w:rFonts w:ascii="Calibri" w:hAnsi="Calibri" w:cs="Calibri"/>
          <w:b/>
          <w:bCs/>
        </w:rPr>
        <w:t>ENDS</w:t>
      </w:r>
    </w:p>
    <w:p w14:paraId="093C8F9C" w14:textId="3700CE3F" w:rsidR="00653AC7" w:rsidRPr="00D46351" w:rsidRDefault="00653AC7">
      <w:pPr>
        <w:rPr>
          <w:rFonts w:ascii="Calibri" w:hAnsi="Calibri" w:cs="Calibri"/>
          <w:b/>
          <w:bCs/>
        </w:rPr>
      </w:pPr>
      <w:r w:rsidRPr="00D46351">
        <w:rPr>
          <w:rFonts w:ascii="Calibri" w:hAnsi="Calibri" w:cs="Calibri"/>
          <w:b/>
          <w:bCs/>
        </w:rPr>
        <w:t>About the report:</w:t>
      </w:r>
    </w:p>
    <w:p w14:paraId="287BD9F2" w14:textId="567F24E5" w:rsidR="00653AC7" w:rsidRPr="00D46351" w:rsidRDefault="00653AC7" w:rsidP="00653AC7">
      <w:pPr>
        <w:rPr>
          <w:rFonts w:ascii="Calibri" w:hAnsi="Calibri" w:cs="Calibri"/>
        </w:rPr>
      </w:pPr>
      <w:r w:rsidRPr="00D46351">
        <w:rPr>
          <w:rFonts w:ascii="Calibri" w:hAnsi="Calibri" w:cs="Calibri"/>
        </w:rPr>
        <w:t xml:space="preserve">In this report, we provide detailed market size and forecast data for </w:t>
      </w:r>
      <w:r w:rsidR="002E093D" w:rsidRPr="00D46351">
        <w:rPr>
          <w:rFonts w:ascii="Calibri" w:hAnsi="Calibri" w:cs="Calibri"/>
        </w:rPr>
        <w:t>ultra-low</w:t>
      </w:r>
      <w:r w:rsidRPr="00D46351">
        <w:rPr>
          <w:rFonts w:ascii="Calibri" w:hAnsi="Calibri" w:cs="Calibri"/>
        </w:rPr>
        <w:t xml:space="preserve"> voltage motors and drives, and a market share analysis of any vendor in the market with a greater than 1% share.</w:t>
      </w:r>
    </w:p>
    <w:p w14:paraId="3264D7C8" w14:textId="77777777" w:rsidR="00653AC7" w:rsidRPr="00D46351" w:rsidRDefault="00653AC7" w:rsidP="00653AC7">
      <w:pPr>
        <w:rPr>
          <w:rFonts w:ascii="Calibri" w:hAnsi="Calibri" w:cs="Calibri"/>
        </w:rPr>
      </w:pPr>
      <w:r w:rsidRPr="00D46351">
        <w:rPr>
          <w:rFonts w:ascii="Calibri" w:hAnsi="Calibri" w:cs="Calibri"/>
        </w:rPr>
        <w:t xml:space="preserve">Our market share analysis is extensive </w:t>
      </w:r>
      <w:proofErr w:type="gramStart"/>
      <w:r w:rsidRPr="00D46351">
        <w:rPr>
          <w:rFonts w:ascii="Calibri" w:hAnsi="Calibri" w:cs="Calibri"/>
        </w:rPr>
        <w:t>and also</w:t>
      </w:r>
      <w:proofErr w:type="gramEnd"/>
      <w:r w:rsidRPr="00D46351">
        <w:rPr>
          <w:rFonts w:ascii="Calibri" w:hAnsi="Calibri" w:cs="Calibri"/>
        </w:rPr>
        <w:t xml:space="preserve"> includes information pertaining to strengths per vendor along with any recent M&amp;A activity.</w:t>
      </w:r>
    </w:p>
    <w:p w14:paraId="377D1934" w14:textId="77777777" w:rsidR="00653AC7" w:rsidRPr="00D46351" w:rsidRDefault="00653AC7" w:rsidP="00653AC7">
      <w:pPr>
        <w:rPr>
          <w:rFonts w:ascii="Calibri" w:hAnsi="Calibri" w:cs="Calibri"/>
        </w:rPr>
      </w:pPr>
    </w:p>
    <w:p w14:paraId="60BAE787" w14:textId="77777777" w:rsidR="00653AC7" w:rsidRPr="00D46351" w:rsidRDefault="00653AC7" w:rsidP="00653AC7">
      <w:pPr>
        <w:pStyle w:val="paragraph"/>
        <w:spacing w:before="0" w:beforeAutospacing="0" w:after="0" w:afterAutospacing="0"/>
        <w:contextualSpacing/>
        <w:textAlignment w:val="baseline"/>
        <w:rPr>
          <w:rStyle w:val="eop"/>
          <w:rFonts w:ascii="Calibri" w:eastAsiaTheme="majorEastAsia" w:hAnsi="Calibri" w:cs="Calibri"/>
          <w:sz w:val="22"/>
          <w:szCs w:val="22"/>
        </w:rPr>
      </w:pPr>
      <w:r w:rsidRPr="00D46351">
        <w:rPr>
          <w:rStyle w:val="normaltextrun"/>
          <w:rFonts w:ascii="Calibri" w:eastAsiaTheme="majorEastAsia" w:hAnsi="Calibri" w:cs="Calibri"/>
          <w:b/>
          <w:bCs/>
          <w:sz w:val="22"/>
          <w:szCs w:val="22"/>
        </w:rPr>
        <w:t>About Interact Analysis:</w:t>
      </w:r>
      <w:r w:rsidRPr="00D46351">
        <w:rPr>
          <w:rStyle w:val="eop"/>
          <w:rFonts w:ascii="Calibri" w:eastAsiaTheme="majorEastAsia" w:hAnsi="Calibri" w:cs="Calibri"/>
          <w:sz w:val="22"/>
          <w:szCs w:val="22"/>
        </w:rPr>
        <w:t> </w:t>
      </w:r>
    </w:p>
    <w:p w14:paraId="7D51171B" w14:textId="77777777" w:rsidR="00653AC7" w:rsidRPr="00D46351" w:rsidRDefault="00653AC7" w:rsidP="00653AC7">
      <w:pPr>
        <w:pStyle w:val="paragraph"/>
        <w:spacing w:before="0" w:beforeAutospacing="0" w:after="0" w:afterAutospacing="0"/>
        <w:textAlignment w:val="baseline"/>
        <w:rPr>
          <w:rFonts w:ascii="Calibri" w:hAnsi="Calibri" w:cs="Calibri"/>
          <w:sz w:val="22"/>
          <w:szCs w:val="22"/>
        </w:rPr>
      </w:pPr>
    </w:p>
    <w:p w14:paraId="758E1538" w14:textId="25383E7A" w:rsidR="00DC428F" w:rsidRPr="00653AC7" w:rsidRDefault="00653AC7">
      <w:r w:rsidRPr="00D46351">
        <w:rPr>
          <w:rFonts w:ascii="Calibri" w:hAnsi="Calibri" w:cs="Calibri"/>
        </w:rPr>
        <w:t>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r w:rsidRPr="00D46351">
        <w:rPr>
          <w:rFonts w:ascii="Calibri" w:eastAsia="Segoe UI" w:hAnsi="Calibri" w:cs="Calibri"/>
        </w:rPr>
        <w:t xml:space="preserve"> </w:t>
      </w:r>
      <w:hyperlink r:id="rId9">
        <w:r w:rsidRPr="00D46351">
          <w:rPr>
            <w:rStyle w:val="Hyperlink"/>
            <w:rFonts w:ascii="Calibri" w:eastAsia="Segoe UI" w:hAnsi="Calibri" w:cs="Calibri"/>
          </w:rPr>
          <w:t>www.InteractAnalysis.com</w:t>
        </w:r>
      </w:hyperlink>
    </w:p>
    <w:sectPr w:rsidR="00DC428F" w:rsidRPr="00653A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1B42BA"/>
    <w:multiLevelType w:val="hybridMultilevel"/>
    <w:tmpl w:val="AC1E7B6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6FB13952"/>
    <w:multiLevelType w:val="hybridMultilevel"/>
    <w:tmpl w:val="FCF02CA2"/>
    <w:lvl w:ilvl="0" w:tplc="B4EC3F12">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18432">
    <w:abstractNumId w:val="0"/>
  </w:num>
  <w:num w:numId="2" w16cid:durableId="464086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73F"/>
    <w:rsid w:val="00004AFD"/>
    <w:rsid w:val="000201FE"/>
    <w:rsid w:val="00033A4C"/>
    <w:rsid w:val="000945DF"/>
    <w:rsid w:val="000C445E"/>
    <w:rsid w:val="000C5C75"/>
    <w:rsid w:val="000E11A4"/>
    <w:rsid w:val="00110468"/>
    <w:rsid w:val="001201D4"/>
    <w:rsid w:val="00127891"/>
    <w:rsid w:val="00136062"/>
    <w:rsid w:val="00145646"/>
    <w:rsid w:val="0015172D"/>
    <w:rsid w:val="001563E9"/>
    <w:rsid w:val="00165BCD"/>
    <w:rsid w:val="00167F9C"/>
    <w:rsid w:val="00183036"/>
    <w:rsid w:val="00183A07"/>
    <w:rsid w:val="0018625F"/>
    <w:rsid w:val="001A3702"/>
    <w:rsid w:val="001B2761"/>
    <w:rsid w:val="001C1FE6"/>
    <w:rsid w:val="001C473F"/>
    <w:rsid w:val="001D0964"/>
    <w:rsid w:val="0020026B"/>
    <w:rsid w:val="00206575"/>
    <w:rsid w:val="00215D6F"/>
    <w:rsid w:val="002441D4"/>
    <w:rsid w:val="002823B0"/>
    <w:rsid w:val="002C4E33"/>
    <w:rsid w:val="002D6FB7"/>
    <w:rsid w:val="002E093D"/>
    <w:rsid w:val="00327404"/>
    <w:rsid w:val="003669E3"/>
    <w:rsid w:val="00367A69"/>
    <w:rsid w:val="003A36C7"/>
    <w:rsid w:val="003D4ACC"/>
    <w:rsid w:val="003E4F52"/>
    <w:rsid w:val="00400F71"/>
    <w:rsid w:val="00414F6E"/>
    <w:rsid w:val="004201C8"/>
    <w:rsid w:val="00430BA7"/>
    <w:rsid w:val="00431606"/>
    <w:rsid w:val="00444FA8"/>
    <w:rsid w:val="00465D16"/>
    <w:rsid w:val="004B0599"/>
    <w:rsid w:val="004C4E10"/>
    <w:rsid w:val="004E330E"/>
    <w:rsid w:val="004E5BE5"/>
    <w:rsid w:val="00515400"/>
    <w:rsid w:val="005167CB"/>
    <w:rsid w:val="0053250D"/>
    <w:rsid w:val="005469F1"/>
    <w:rsid w:val="005831EF"/>
    <w:rsid w:val="00597CEC"/>
    <w:rsid w:val="005A00EB"/>
    <w:rsid w:val="005A7FCF"/>
    <w:rsid w:val="005B5E34"/>
    <w:rsid w:val="005C3EDD"/>
    <w:rsid w:val="005E0140"/>
    <w:rsid w:val="00622445"/>
    <w:rsid w:val="00631E7A"/>
    <w:rsid w:val="00643E83"/>
    <w:rsid w:val="00645DD7"/>
    <w:rsid w:val="00653AC7"/>
    <w:rsid w:val="00693FA2"/>
    <w:rsid w:val="006B7B1A"/>
    <w:rsid w:val="00701C11"/>
    <w:rsid w:val="00705DDA"/>
    <w:rsid w:val="00707F6E"/>
    <w:rsid w:val="007253CF"/>
    <w:rsid w:val="0074443B"/>
    <w:rsid w:val="00755860"/>
    <w:rsid w:val="00785221"/>
    <w:rsid w:val="00787C56"/>
    <w:rsid w:val="00795158"/>
    <w:rsid w:val="007D470F"/>
    <w:rsid w:val="007E5B32"/>
    <w:rsid w:val="007F408B"/>
    <w:rsid w:val="00805E87"/>
    <w:rsid w:val="008452B9"/>
    <w:rsid w:val="00856867"/>
    <w:rsid w:val="008610DC"/>
    <w:rsid w:val="008622CB"/>
    <w:rsid w:val="0087052E"/>
    <w:rsid w:val="008726B8"/>
    <w:rsid w:val="008F684C"/>
    <w:rsid w:val="00906BD4"/>
    <w:rsid w:val="0091263F"/>
    <w:rsid w:val="009338BD"/>
    <w:rsid w:val="00936970"/>
    <w:rsid w:val="00946883"/>
    <w:rsid w:val="009469E1"/>
    <w:rsid w:val="009500D1"/>
    <w:rsid w:val="009760DE"/>
    <w:rsid w:val="00991E58"/>
    <w:rsid w:val="009C0A64"/>
    <w:rsid w:val="00A04F57"/>
    <w:rsid w:val="00A56CA4"/>
    <w:rsid w:val="00AA6085"/>
    <w:rsid w:val="00AD5FBC"/>
    <w:rsid w:val="00B27FD4"/>
    <w:rsid w:val="00B962D9"/>
    <w:rsid w:val="00BC7EBC"/>
    <w:rsid w:val="00C02BD4"/>
    <w:rsid w:val="00C10AF1"/>
    <w:rsid w:val="00C266B2"/>
    <w:rsid w:val="00C42F73"/>
    <w:rsid w:val="00C557D3"/>
    <w:rsid w:val="00C865B5"/>
    <w:rsid w:val="00C941F2"/>
    <w:rsid w:val="00C94CB3"/>
    <w:rsid w:val="00C95207"/>
    <w:rsid w:val="00CA01B7"/>
    <w:rsid w:val="00CA151A"/>
    <w:rsid w:val="00CA244D"/>
    <w:rsid w:val="00D339D5"/>
    <w:rsid w:val="00D34ACF"/>
    <w:rsid w:val="00D46351"/>
    <w:rsid w:val="00D75FD1"/>
    <w:rsid w:val="00D93654"/>
    <w:rsid w:val="00DB15A6"/>
    <w:rsid w:val="00DC428F"/>
    <w:rsid w:val="00DD71EB"/>
    <w:rsid w:val="00DE1DF8"/>
    <w:rsid w:val="00E0620E"/>
    <w:rsid w:val="00E27844"/>
    <w:rsid w:val="00E40539"/>
    <w:rsid w:val="00E459E9"/>
    <w:rsid w:val="00E471B9"/>
    <w:rsid w:val="00E65EC9"/>
    <w:rsid w:val="00E95F29"/>
    <w:rsid w:val="00EA009A"/>
    <w:rsid w:val="00EA1B5F"/>
    <w:rsid w:val="00EB1C08"/>
    <w:rsid w:val="00ED5073"/>
    <w:rsid w:val="00ED5622"/>
    <w:rsid w:val="00EF5296"/>
    <w:rsid w:val="00F12769"/>
    <w:rsid w:val="00F53199"/>
    <w:rsid w:val="00F67654"/>
    <w:rsid w:val="00FC5795"/>
    <w:rsid w:val="00FD1596"/>
    <w:rsid w:val="00FD51CB"/>
    <w:rsid w:val="00FF5682"/>
    <w:rsid w:val="00FF74A4"/>
    <w:rsid w:val="25C01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208DA"/>
  <w15:chartTrackingRefBased/>
  <w15:docId w15:val="{D270CE90-6C12-4C40-9957-1591F1845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7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47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47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47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7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7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7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7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7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7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47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47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47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7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7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7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7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73F"/>
    <w:rPr>
      <w:rFonts w:eastAsiaTheme="majorEastAsia" w:cstheme="majorBidi"/>
      <w:color w:val="272727" w:themeColor="text1" w:themeTint="D8"/>
    </w:rPr>
  </w:style>
  <w:style w:type="paragraph" w:styleId="Title">
    <w:name w:val="Title"/>
    <w:basedOn w:val="Normal"/>
    <w:next w:val="Normal"/>
    <w:link w:val="TitleChar"/>
    <w:uiPriority w:val="10"/>
    <w:qFormat/>
    <w:rsid w:val="001C47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7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7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7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73F"/>
    <w:pPr>
      <w:spacing w:before="160"/>
      <w:jc w:val="center"/>
    </w:pPr>
    <w:rPr>
      <w:i/>
      <w:iCs/>
      <w:color w:val="404040" w:themeColor="text1" w:themeTint="BF"/>
    </w:rPr>
  </w:style>
  <w:style w:type="character" w:customStyle="1" w:styleId="QuoteChar">
    <w:name w:val="Quote Char"/>
    <w:basedOn w:val="DefaultParagraphFont"/>
    <w:link w:val="Quote"/>
    <w:uiPriority w:val="29"/>
    <w:rsid w:val="001C473F"/>
    <w:rPr>
      <w:i/>
      <w:iCs/>
      <w:color w:val="404040" w:themeColor="text1" w:themeTint="BF"/>
    </w:rPr>
  </w:style>
  <w:style w:type="paragraph" w:styleId="ListParagraph">
    <w:name w:val="List Paragraph"/>
    <w:basedOn w:val="Normal"/>
    <w:uiPriority w:val="34"/>
    <w:qFormat/>
    <w:rsid w:val="001C473F"/>
    <w:pPr>
      <w:ind w:left="720"/>
      <w:contextualSpacing/>
    </w:pPr>
  </w:style>
  <w:style w:type="character" w:styleId="IntenseEmphasis">
    <w:name w:val="Intense Emphasis"/>
    <w:basedOn w:val="DefaultParagraphFont"/>
    <w:uiPriority w:val="21"/>
    <w:qFormat/>
    <w:rsid w:val="001C473F"/>
    <w:rPr>
      <w:i/>
      <w:iCs/>
      <w:color w:val="0F4761" w:themeColor="accent1" w:themeShade="BF"/>
    </w:rPr>
  </w:style>
  <w:style w:type="paragraph" w:styleId="IntenseQuote">
    <w:name w:val="Intense Quote"/>
    <w:basedOn w:val="Normal"/>
    <w:next w:val="Normal"/>
    <w:link w:val="IntenseQuoteChar"/>
    <w:uiPriority w:val="30"/>
    <w:qFormat/>
    <w:rsid w:val="001C47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73F"/>
    <w:rPr>
      <w:i/>
      <w:iCs/>
      <w:color w:val="0F4761" w:themeColor="accent1" w:themeShade="BF"/>
    </w:rPr>
  </w:style>
  <w:style w:type="character" w:styleId="IntenseReference">
    <w:name w:val="Intense Reference"/>
    <w:basedOn w:val="DefaultParagraphFont"/>
    <w:uiPriority w:val="32"/>
    <w:qFormat/>
    <w:rsid w:val="001C473F"/>
    <w:rPr>
      <w:b/>
      <w:bCs/>
      <w:smallCaps/>
      <w:color w:val="0F4761" w:themeColor="accent1" w:themeShade="BF"/>
      <w:spacing w:val="5"/>
    </w:rPr>
  </w:style>
  <w:style w:type="character" w:styleId="CommentReference">
    <w:name w:val="annotation reference"/>
    <w:basedOn w:val="DefaultParagraphFont"/>
    <w:uiPriority w:val="99"/>
    <w:semiHidden/>
    <w:unhideWhenUsed/>
    <w:rsid w:val="00C02BD4"/>
    <w:rPr>
      <w:sz w:val="16"/>
      <w:szCs w:val="16"/>
    </w:rPr>
  </w:style>
  <w:style w:type="paragraph" w:styleId="CommentText">
    <w:name w:val="annotation text"/>
    <w:basedOn w:val="Normal"/>
    <w:link w:val="CommentTextChar"/>
    <w:uiPriority w:val="99"/>
    <w:unhideWhenUsed/>
    <w:rsid w:val="00C02BD4"/>
    <w:pPr>
      <w:spacing w:line="240" w:lineRule="auto"/>
    </w:pPr>
    <w:rPr>
      <w:sz w:val="20"/>
      <w:szCs w:val="20"/>
    </w:rPr>
  </w:style>
  <w:style w:type="character" w:customStyle="1" w:styleId="CommentTextChar">
    <w:name w:val="Comment Text Char"/>
    <w:basedOn w:val="DefaultParagraphFont"/>
    <w:link w:val="CommentText"/>
    <w:uiPriority w:val="99"/>
    <w:rsid w:val="00C02BD4"/>
    <w:rPr>
      <w:sz w:val="20"/>
      <w:szCs w:val="20"/>
    </w:rPr>
  </w:style>
  <w:style w:type="paragraph" w:styleId="CommentSubject">
    <w:name w:val="annotation subject"/>
    <w:basedOn w:val="CommentText"/>
    <w:next w:val="CommentText"/>
    <w:link w:val="CommentSubjectChar"/>
    <w:uiPriority w:val="99"/>
    <w:semiHidden/>
    <w:unhideWhenUsed/>
    <w:rsid w:val="00C02BD4"/>
    <w:rPr>
      <w:b/>
      <w:bCs/>
    </w:rPr>
  </w:style>
  <w:style w:type="character" w:customStyle="1" w:styleId="CommentSubjectChar">
    <w:name w:val="Comment Subject Char"/>
    <w:basedOn w:val="CommentTextChar"/>
    <w:link w:val="CommentSubject"/>
    <w:uiPriority w:val="99"/>
    <w:semiHidden/>
    <w:rsid w:val="00C02BD4"/>
    <w:rPr>
      <w:b/>
      <w:bCs/>
      <w:sz w:val="20"/>
      <w:szCs w:val="20"/>
    </w:rPr>
  </w:style>
  <w:style w:type="character" w:customStyle="1" w:styleId="normaltextrun">
    <w:name w:val="normaltextrun"/>
    <w:basedOn w:val="DefaultParagraphFont"/>
    <w:rsid w:val="00653AC7"/>
  </w:style>
  <w:style w:type="character" w:styleId="Hyperlink">
    <w:name w:val="Hyperlink"/>
    <w:basedOn w:val="DefaultParagraphFont"/>
    <w:uiPriority w:val="99"/>
    <w:unhideWhenUsed/>
    <w:rsid w:val="00653AC7"/>
    <w:rPr>
      <w:color w:val="467886" w:themeColor="hyperlink"/>
      <w:u w:val="single"/>
    </w:rPr>
  </w:style>
  <w:style w:type="paragraph" w:customStyle="1" w:styleId="paragraph">
    <w:name w:val="paragraph"/>
    <w:basedOn w:val="Normal"/>
    <w:rsid w:val="00653AC7"/>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eop">
    <w:name w:val="eop"/>
    <w:basedOn w:val="DefaultParagraphFont"/>
    <w:rsid w:val="00653AC7"/>
  </w:style>
  <w:style w:type="paragraph" w:styleId="Revision">
    <w:name w:val="Revision"/>
    <w:hidden/>
    <w:uiPriority w:val="99"/>
    <w:semiHidden/>
    <w:rsid w:val="009469E1"/>
    <w:pPr>
      <w:spacing w:after="0" w:line="240" w:lineRule="auto"/>
    </w:pPr>
  </w:style>
  <w:style w:type="character" w:styleId="Mention">
    <w:name w:val="Mention"/>
    <w:basedOn w:val="DefaultParagraphFont"/>
    <w:uiPriority w:val="99"/>
    <w:unhideWhenUsed/>
    <w:rsid w:val="00444FA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54218">
      <w:bodyDiv w:val="1"/>
      <w:marLeft w:val="0"/>
      <w:marRight w:val="0"/>
      <w:marTop w:val="0"/>
      <w:marBottom w:val="0"/>
      <w:divBdr>
        <w:top w:val="none" w:sz="0" w:space="0" w:color="auto"/>
        <w:left w:val="none" w:sz="0" w:space="0" w:color="auto"/>
        <w:bottom w:val="none" w:sz="0" w:space="0" w:color="auto"/>
        <w:right w:val="none" w:sz="0" w:space="0" w:color="auto"/>
      </w:divBdr>
    </w:div>
    <w:div w:id="143204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teractanaly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8" ma:contentTypeDescription="Create a new document." ma:contentTypeScope="" ma:versionID="5c0f4c7ba23cec0355049e54e18597f9">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8489a6e5db20aa44965c9e83c7af68b0"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DFBB10-A850-439F-9420-834CC1F9A428}">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customXml/itemProps2.xml><?xml version="1.0" encoding="utf-8"?>
<ds:datastoreItem xmlns:ds="http://schemas.openxmlformats.org/officeDocument/2006/customXml" ds:itemID="{CB383BDB-6D39-4A7C-9548-FE618AF06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1038D2-78E8-4407-873D-B6F67B9FED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724</Words>
  <Characters>4076</Characters>
  <Application>Microsoft Office Word</Application>
  <DocSecurity>0</DocSecurity>
  <Lines>33</Lines>
  <Paragraphs>9</Paragraphs>
  <ScaleCrop>false</ScaleCrop>
  <Company/>
  <LinksUpToDate>false</LinksUpToDate>
  <CharactersWithSpaces>4791</CharactersWithSpaces>
  <SharedDoc>false</SharedDoc>
  <HLinks>
    <vt:vector size="6" baseType="variant">
      <vt:variant>
        <vt:i4>5832770</vt:i4>
      </vt:variant>
      <vt:variant>
        <vt:i4>0</vt:i4>
      </vt:variant>
      <vt:variant>
        <vt:i4>0</vt:i4>
      </vt:variant>
      <vt:variant>
        <vt:i4>5</vt:i4>
      </vt:variant>
      <vt:variant>
        <vt:lpwstr>http://www.interactanalysis.com/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Brook</dc:creator>
  <cp:keywords/>
  <dc:description/>
  <cp:lastModifiedBy>Theresa Haworth</cp:lastModifiedBy>
  <cp:revision>6</cp:revision>
  <cp:lastPrinted>2025-07-28T14:14:00Z</cp:lastPrinted>
  <dcterms:created xsi:type="dcterms:W3CDTF">2025-08-18T07:55:00Z</dcterms:created>
  <dcterms:modified xsi:type="dcterms:W3CDTF">2025-08-18T08:13:00Z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y fmtid="{D5CDD505-2E9C-101B-9397-08002B2CF9AE}" pid="4" name="GrammarlyDocumentId">
    <vt:lpwstr>f8ee41a3-3880-4cb6-aa27-d745ee53ab35</vt:lpwstr>
  </property>
</Properties>
</file>