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CE41F" w14:textId="51891A30" w:rsidR="00515033" w:rsidRPr="0053579E" w:rsidRDefault="00655E10" w:rsidP="00655E10">
      <w:pPr>
        <w:jc w:val="center"/>
        <w:rPr>
          <w:rFonts w:ascii="Calibri" w:hAnsi="Calibri" w:cs="Calibri"/>
          <w:b/>
          <w:bCs/>
          <w:sz w:val="32"/>
          <w:szCs w:val="32"/>
        </w:rPr>
      </w:pPr>
      <w:r w:rsidRPr="0053579E">
        <w:rPr>
          <w:rFonts w:ascii="Calibri" w:hAnsi="Calibri" w:cs="Calibri"/>
          <w:b/>
          <w:bCs/>
          <w:sz w:val="32"/>
          <w:szCs w:val="32"/>
        </w:rPr>
        <w:t>Global</w:t>
      </w:r>
      <w:r w:rsidR="00016D9D">
        <w:rPr>
          <w:rFonts w:ascii="Calibri" w:hAnsi="Calibri" w:cs="Calibri"/>
          <w:b/>
          <w:bCs/>
          <w:sz w:val="32"/>
          <w:szCs w:val="32"/>
        </w:rPr>
        <w:t xml:space="preserve"> </w:t>
      </w:r>
      <w:r w:rsidR="009C41F6" w:rsidRPr="0053579E">
        <w:rPr>
          <w:rFonts w:ascii="Calibri" w:hAnsi="Calibri" w:cs="Calibri"/>
          <w:b/>
          <w:bCs/>
          <w:sz w:val="32"/>
          <w:szCs w:val="32"/>
        </w:rPr>
        <w:t>s</w:t>
      </w:r>
      <w:r w:rsidRPr="0053579E">
        <w:rPr>
          <w:rFonts w:ascii="Calibri" w:hAnsi="Calibri" w:cs="Calibri"/>
          <w:b/>
          <w:bCs/>
          <w:sz w:val="32"/>
          <w:szCs w:val="32"/>
        </w:rPr>
        <w:t xml:space="preserve">mart </w:t>
      </w:r>
      <w:r w:rsidR="009C41F6" w:rsidRPr="0053579E">
        <w:rPr>
          <w:rFonts w:ascii="Calibri" w:hAnsi="Calibri" w:cs="Calibri"/>
          <w:b/>
          <w:bCs/>
          <w:sz w:val="32"/>
          <w:szCs w:val="32"/>
        </w:rPr>
        <w:t>c</w:t>
      </w:r>
      <w:r w:rsidRPr="0053579E">
        <w:rPr>
          <w:rFonts w:ascii="Calibri" w:hAnsi="Calibri" w:cs="Calibri"/>
          <w:b/>
          <w:bCs/>
          <w:sz w:val="32"/>
          <w:szCs w:val="32"/>
        </w:rPr>
        <w:t xml:space="preserve">onveyance </w:t>
      </w:r>
      <w:r w:rsidR="009C41F6" w:rsidRPr="0053579E">
        <w:rPr>
          <w:rFonts w:ascii="Calibri" w:hAnsi="Calibri" w:cs="Calibri"/>
          <w:b/>
          <w:bCs/>
          <w:sz w:val="32"/>
          <w:szCs w:val="32"/>
        </w:rPr>
        <w:t>t</w:t>
      </w:r>
      <w:r w:rsidRPr="0053579E">
        <w:rPr>
          <w:rFonts w:ascii="Calibri" w:hAnsi="Calibri" w:cs="Calibri"/>
          <w:b/>
          <w:bCs/>
          <w:sz w:val="32"/>
          <w:szCs w:val="32"/>
        </w:rPr>
        <w:t xml:space="preserve">echnology </w:t>
      </w:r>
      <w:r w:rsidR="00135890">
        <w:rPr>
          <w:rFonts w:ascii="Calibri" w:hAnsi="Calibri" w:cs="Calibri"/>
          <w:b/>
          <w:bCs/>
          <w:sz w:val="32"/>
          <w:szCs w:val="32"/>
        </w:rPr>
        <w:t>market ‘remains robust</w:t>
      </w:r>
      <w:r w:rsidR="007E725B">
        <w:rPr>
          <w:rFonts w:ascii="Calibri" w:hAnsi="Calibri" w:cs="Calibri"/>
          <w:b/>
          <w:bCs/>
          <w:sz w:val="32"/>
          <w:szCs w:val="32"/>
        </w:rPr>
        <w:t xml:space="preserve">, with linear market </w:t>
      </w:r>
      <w:r w:rsidR="005F61C5">
        <w:rPr>
          <w:rFonts w:ascii="Calibri" w:hAnsi="Calibri" w:cs="Calibri"/>
          <w:b/>
          <w:bCs/>
          <w:sz w:val="32"/>
          <w:szCs w:val="32"/>
        </w:rPr>
        <w:t>‘more</w:t>
      </w:r>
      <w:r w:rsidR="00A8174A">
        <w:rPr>
          <w:rFonts w:ascii="Calibri" w:hAnsi="Calibri" w:cs="Calibri"/>
          <w:b/>
          <w:bCs/>
          <w:sz w:val="32"/>
          <w:szCs w:val="32"/>
        </w:rPr>
        <w:t xml:space="preserve"> than doubl</w:t>
      </w:r>
      <w:r w:rsidR="005F61C5">
        <w:rPr>
          <w:rFonts w:ascii="Calibri" w:hAnsi="Calibri" w:cs="Calibri"/>
          <w:b/>
          <w:bCs/>
          <w:sz w:val="32"/>
          <w:szCs w:val="32"/>
        </w:rPr>
        <w:t>ing</w:t>
      </w:r>
      <w:r w:rsidR="00A8174A">
        <w:rPr>
          <w:rFonts w:ascii="Calibri" w:hAnsi="Calibri" w:cs="Calibri"/>
          <w:b/>
          <w:bCs/>
          <w:sz w:val="32"/>
          <w:szCs w:val="32"/>
        </w:rPr>
        <w:t xml:space="preserve"> to $1.</w:t>
      </w:r>
      <w:r w:rsidR="007E725B">
        <w:rPr>
          <w:rFonts w:ascii="Calibri" w:hAnsi="Calibri" w:cs="Calibri"/>
          <w:b/>
          <w:bCs/>
          <w:sz w:val="32"/>
          <w:szCs w:val="32"/>
        </w:rPr>
        <w:t>2</w:t>
      </w:r>
      <w:r w:rsidR="00A8174A">
        <w:rPr>
          <w:rFonts w:ascii="Calibri" w:hAnsi="Calibri" w:cs="Calibri"/>
          <w:b/>
          <w:bCs/>
          <w:sz w:val="32"/>
          <w:szCs w:val="32"/>
        </w:rPr>
        <w:t>bn by 2031</w:t>
      </w:r>
      <w:r w:rsidR="005F61C5">
        <w:rPr>
          <w:rFonts w:ascii="Calibri" w:hAnsi="Calibri" w:cs="Calibri"/>
          <w:b/>
          <w:bCs/>
          <w:sz w:val="32"/>
          <w:szCs w:val="32"/>
        </w:rPr>
        <w:t>’</w:t>
      </w:r>
    </w:p>
    <w:p w14:paraId="2F390E6E" w14:textId="72498AB7" w:rsidR="00403DA8" w:rsidRDefault="00403DA8" w:rsidP="00A32708">
      <w:pPr>
        <w:pStyle w:val="ListParagraph"/>
        <w:numPr>
          <w:ilvl w:val="0"/>
          <w:numId w:val="1"/>
        </w:numPr>
        <w:rPr>
          <w:rFonts w:ascii="Calibri" w:hAnsi="Calibri" w:cs="Calibri"/>
          <w:b/>
          <w:bCs/>
        </w:rPr>
      </w:pPr>
      <w:r>
        <w:rPr>
          <w:rFonts w:ascii="Calibri" w:hAnsi="Calibri" w:cs="Calibri"/>
          <w:b/>
          <w:bCs/>
        </w:rPr>
        <w:t>The worldwide market for linear smart conveyance technology remains robust and is expected to top $1</w:t>
      </w:r>
      <w:r w:rsidR="005F61C5">
        <w:rPr>
          <w:rFonts w:ascii="Calibri" w:hAnsi="Calibri" w:cs="Calibri"/>
          <w:b/>
          <w:bCs/>
        </w:rPr>
        <w:t>.</w:t>
      </w:r>
      <w:r w:rsidR="007E725B">
        <w:rPr>
          <w:rFonts w:ascii="Calibri" w:hAnsi="Calibri" w:cs="Calibri"/>
          <w:b/>
          <w:bCs/>
        </w:rPr>
        <w:t>2 billion</w:t>
      </w:r>
      <w:r w:rsidR="005F61C5">
        <w:rPr>
          <w:rFonts w:ascii="Calibri" w:hAnsi="Calibri" w:cs="Calibri"/>
          <w:b/>
          <w:bCs/>
        </w:rPr>
        <w:t xml:space="preserve"> in 2031</w:t>
      </w:r>
      <w:r>
        <w:rPr>
          <w:rFonts w:ascii="Calibri" w:hAnsi="Calibri" w:cs="Calibri"/>
          <w:b/>
          <w:bCs/>
        </w:rPr>
        <w:t>.</w:t>
      </w:r>
    </w:p>
    <w:p w14:paraId="098E370A" w14:textId="370FCE31" w:rsidR="00A32708" w:rsidRPr="009C41F6" w:rsidRDefault="001C52F8" w:rsidP="00A32708">
      <w:pPr>
        <w:pStyle w:val="ListParagraph"/>
        <w:numPr>
          <w:ilvl w:val="0"/>
          <w:numId w:val="1"/>
        </w:numPr>
        <w:rPr>
          <w:rFonts w:ascii="Calibri" w:hAnsi="Calibri" w:cs="Calibri"/>
          <w:b/>
          <w:bCs/>
        </w:rPr>
      </w:pPr>
      <w:r w:rsidRPr="009C41F6">
        <w:rPr>
          <w:rFonts w:ascii="Calibri" w:hAnsi="Calibri" w:cs="Calibri"/>
          <w:b/>
          <w:bCs/>
        </w:rPr>
        <w:t xml:space="preserve">Global </w:t>
      </w:r>
      <w:r w:rsidR="00403DA8">
        <w:rPr>
          <w:rFonts w:ascii="Calibri" w:hAnsi="Calibri" w:cs="Calibri"/>
          <w:b/>
          <w:bCs/>
        </w:rPr>
        <w:t xml:space="preserve">planar </w:t>
      </w:r>
      <w:r w:rsidR="00E94272">
        <w:rPr>
          <w:rFonts w:ascii="Calibri" w:hAnsi="Calibri" w:cs="Calibri"/>
          <w:b/>
          <w:bCs/>
        </w:rPr>
        <w:t>smart conveyance technology (SCT)</w:t>
      </w:r>
      <w:r w:rsidRPr="009C41F6">
        <w:rPr>
          <w:rFonts w:ascii="Calibri" w:hAnsi="Calibri" w:cs="Calibri"/>
          <w:b/>
          <w:bCs/>
        </w:rPr>
        <w:t xml:space="preserve"> revenue forecast to </w:t>
      </w:r>
      <w:r w:rsidR="004C71C9">
        <w:rPr>
          <w:rFonts w:ascii="Calibri" w:hAnsi="Calibri" w:cs="Calibri"/>
          <w:b/>
          <w:bCs/>
        </w:rPr>
        <w:t>jump</w:t>
      </w:r>
      <w:r w:rsidRPr="009C41F6">
        <w:rPr>
          <w:rFonts w:ascii="Calibri" w:hAnsi="Calibri" w:cs="Calibri"/>
          <w:b/>
          <w:bCs/>
        </w:rPr>
        <w:t xml:space="preserve"> to $218.4 million in 2031</w:t>
      </w:r>
      <w:r w:rsidR="00C34CC4">
        <w:rPr>
          <w:rFonts w:ascii="Calibri" w:hAnsi="Calibri" w:cs="Calibri"/>
          <w:b/>
          <w:bCs/>
        </w:rPr>
        <w:t xml:space="preserve">, up from </w:t>
      </w:r>
      <w:r w:rsidR="004C71C9">
        <w:rPr>
          <w:rFonts w:ascii="Calibri" w:hAnsi="Calibri" w:cs="Calibri"/>
          <w:b/>
          <w:bCs/>
        </w:rPr>
        <w:t xml:space="preserve">just </w:t>
      </w:r>
      <w:r w:rsidR="00C34CC4">
        <w:rPr>
          <w:rFonts w:ascii="Calibri" w:hAnsi="Calibri" w:cs="Calibri"/>
          <w:b/>
          <w:bCs/>
        </w:rPr>
        <w:t>$33.4 million in 2025</w:t>
      </w:r>
      <w:r w:rsidR="00597136">
        <w:rPr>
          <w:rFonts w:ascii="Calibri" w:hAnsi="Calibri" w:cs="Calibri"/>
          <w:b/>
          <w:bCs/>
        </w:rPr>
        <w:t xml:space="preserve">, as it transitions into </w:t>
      </w:r>
      <w:r w:rsidR="002D0C1C">
        <w:rPr>
          <w:rFonts w:ascii="Calibri" w:hAnsi="Calibri" w:cs="Calibri"/>
          <w:b/>
          <w:bCs/>
        </w:rPr>
        <w:t>commercial production</w:t>
      </w:r>
      <w:r w:rsidR="00C34CC4">
        <w:rPr>
          <w:rFonts w:ascii="Calibri" w:hAnsi="Calibri" w:cs="Calibri"/>
          <w:b/>
          <w:bCs/>
        </w:rPr>
        <w:t>.</w:t>
      </w:r>
    </w:p>
    <w:p w14:paraId="3227EFC8" w14:textId="341C4BCA" w:rsidR="00A32708" w:rsidRPr="009C41F6" w:rsidRDefault="001C52F8" w:rsidP="00A32708">
      <w:pPr>
        <w:pStyle w:val="ListParagraph"/>
        <w:numPr>
          <w:ilvl w:val="0"/>
          <w:numId w:val="1"/>
        </w:numPr>
        <w:rPr>
          <w:rFonts w:ascii="Calibri" w:hAnsi="Calibri" w:cs="Calibri"/>
          <w:b/>
          <w:bCs/>
        </w:rPr>
      </w:pPr>
      <w:r w:rsidRPr="009C41F6">
        <w:rPr>
          <w:rFonts w:ascii="Calibri" w:hAnsi="Calibri" w:cs="Calibri"/>
          <w:b/>
          <w:bCs/>
        </w:rPr>
        <w:t>APAC remain</w:t>
      </w:r>
      <w:r w:rsidR="00E94272">
        <w:rPr>
          <w:rFonts w:ascii="Calibri" w:hAnsi="Calibri" w:cs="Calibri"/>
          <w:b/>
          <w:bCs/>
        </w:rPr>
        <w:t>s</w:t>
      </w:r>
      <w:r w:rsidRPr="009C41F6">
        <w:rPr>
          <w:rFonts w:ascii="Calibri" w:hAnsi="Calibri" w:cs="Calibri"/>
          <w:b/>
          <w:bCs/>
        </w:rPr>
        <w:t xml:space="preserve"> the largest global regional market for </w:t>
      </w:r>
      <w:r w:rsidR="00F30FDC">
        <w:rPr>
          <w:rFonts w:ascii="Calibri" w:hAnsi="Calibri" w:cs="Calibri"/>
          <w:b/>
          <w:bCs/>
        </w:rPr>
        <w:t>l</w:t>
      </w:r>
      <w:r w:rsidRPr="009C41F6">
        <w:rPr>
          <w:rFonts w:ascii="Calibri" w:hAnsi="Calibri" w:cs="Calibri"/>
          <w:b/>
          <w:bCs/>
        </w:rPr>
        <w:t>inear SCT, generating $234.3</w:t>
      </w:r>
      <w:r w:rsidR="00E94272">
        <w:rPr>
          <w:rFonts w:ascii="Calibri" w:hAnsi="Calibri" w:cs="Calibri"/>
          <w:b/>
          <w:bCs/>
        </w:rPr>
        <w:t xml:space="preserve"> million</w:t>
      </w:r>
      <w:r w:rsidR="00403DA8">
        <w:rPr>
          <w:rFonts w:ascii="Calibri" w:hAnsi="Calibri" w:cs="Calibri"/>
          <w:b/>
          <w:bCs/>
        </w:rPr>
        <w:t xml:space="preserve"> in </w:t>
      </w:r>
      <w:r w:rsidR="00430F5F">
        <w:rPr>
          <w:rFonts w:ascii="Calibri" w:hAnsi="Calibri" w:cs="Calibri"/>
          <w:b/>
          <w:bCs/>
        </w:rPr>
        <w:t>2025.</w:t>
      </w:r>
    </w:p>
    <w:p w14:paraId="190E74C2" w14:textId="75959C5A" w:rsidR="004D3E56" w:rsidRDefault="00872D55">
      <w:pPr>
        <w:rPr>
          <w:rFonts w:ascii="Calibri" w:hAnsi="Calibri" w:cs="Calibri"/>
        </w:rPr>
      </w:pPr>
      <w:r w:rsidRPr="009C41F6">
        <w:rPr>
          <w:rFonts w:ascii="Calibri" w:hAnsi="Calibri" w:cs="Calibri"/>
          <w:b/>
          <w:bCs/>
        </w:rPr>
        <w:t xml:space="preserve">London, </w:t>
      </w:r>
      <w:r w:rsidR="002A099F" w:rsidRPr="002A099F">
        <w:rPr>
          <w:rFonts w:ascii="Calibri" w:hAnsi="Calibri" w:cs="Calibri"/>
          <w:b/>
          <w:bCs/>
        </w:rPr>
        <w:t>8</w:t>
      </w:r>
      <w:r w:rsidR="002A099F" w:rsidRPr="002A099F">
        <w:rPr>
          <w:rFonts w:ascii="Calibri" w:hAnsi="Calibri" w:cs="Calibri"/>
          <w:b/>
          <w:bCs/>
          <w:vertAlign w:val="superscript"/>
        </w:rPr>
        <w:t>th</w:t>
      </w:r>
      <w:r w:rsidR="002A099F" w:rsidRPr="002A099F">
        <w:rPr>
          <w:rFonts w:ascii="Calibri" w:hAnsi="Calibri" w:cs="Calibri"/>
          <w:b/>
          <w:bCs/>
        </w:rPr>
        <w:t xml:space="preserve"> September</w:t>
      </w:r>
      <w:r w:rsidRPr="00301655">
        <w:rPr>
          <w:rFonts w:ascii="Calibri" w:hAnsi="Calibri" w:cs="Calibri"/>
          <w:b/>
          <w:bCs/>
          <w:color w:val="EE0000"/>
        </w:rPr>
        <w:t xml:space="preserve"> </w:t>
      </w:r>
      <w:r w:rsidRPr="009C41F6">
        <w:rPr>
          <w:rFonts w:ascii="Calibri" w:hAnsi="Calibri" w:cs="Calibri"/>
          <w:b/>
          <w:bCs/>
        </w:rPr>
        <w:t xml:space="preserve">2026 – </w:t>
      </w:r>
      <w:r w:rsidR="004D3E56">
        <w:rPr>
          <w:rFonts w:ascii="Calibri" w:hAnsi="Calibri" w:cs="Calibri"/>
        </w:rPr>
        <w:t>The market for s</w:t>
      </w:r>
      <w:r w:rsidR="004D3E56" w:rsidRPr="009C41F6">
        <w:rPr>
          <w:rFonts w:ascii="Calibri" w:hAnsi="Calibri" w:cs="Calibri"/>
        </w:rPr>
        <w:t xml:space="preserve">mart </w:t>
      </w:r>
      <w:r w:rsidR="004D3E56">
        <w:rPr>
          <w:rFonts w:ascii="Calibri" w:hAnsi="Calibri" w:cs="Calibri"/>
        </w:rPr>
        <w:t>c</w:t>
      </w:r>
      <w:r w:rsidR="004D3E56" w:rsidRPr="009C41F6">
        <w:rPr>
          <w:rFonts w:ascii="Calibri" w:hAnsi="Calibri" w:cs="Calibri"/>
        </w:rPr>
        <w:t xml:space="preserve">onveyance </w:t>
      </w:r>
      <w:r w:rsidR="004D3E56">
        <w:rPr>
          <w:rFonts w:ascii="Calibri" w:hAnsi="Calibri" w:cs="Calibri"/>
        </w:rPr>
        <w:t>t</w:t>
      </w:r>
      <w:r w:rsidR="004D3E56" w:rsidRPr="009C41F6">
        <w:rPr>
          <w:rFonts w:ascii="Calibri" w:hAnsi="Calibri" w:cs="Calibri"/>
        </w:rPr>
        <w:t>echnology</w:t>
      </w:r>
      <w:r w:rsidR="004D3E56">
        <w:rPr>
          <w:rFonts w:ascii="Calibri" w:hAnsi="Calibri" w:cs="Calibri"/>
        </w:rPr>
        <w:t xml:space="preserve"> (SCT)</w:t>
      </w:r>
      <w:r w:rsidR="00A361FA">
        <w:rPr>
          <w:rFonts w:ascii="Calibri" w:hAnsi="Calibri" w:cs="Calibri"/>
        </w:rPr>
        <w:t xml:space="preserve"> has experienced challenging condition</w:t>
      </w:r>
      <w:r w:rsidR="007B6A52">
        <w:rPr>
          <w:rFonts w:ascii="Calibri" w:hAnsi="Calibri" w:cs="Calibri"/>
        </w:rPr>
        <w:t>s</w:t>
      </w:r>
      <w:r w:rsidR="00A361FA">
        <w:rPr>
          <w:rFonts w:ascii="Calibri" w:hAnsi="Calibri" w:cs="Calibri"/>
        </w:rPr>
        <w:t xml:space="preserve"> since 2024</w:t>
      </w:r>
      <w:r w:rsidR="007B6A52">
        <w:rPr>
          <w:rFonts w:ascii="Calibri" w:hAnsi="Calibri" w:cs="Calibri"/>
        </w:rPr>
        <w:t>,</w:t>
      </w:r>
      <w:r w:rsidR="00A361FA">
        <w:rPr>
          <w:rFonts w:ascii="Calibri" w:hAnsi="Calibri" w:cs="Calibri"/>
        </w:rPr>
        <w:t xml:space="preserve"> but </w:t>
      </w:r>
      <w:r w:rsidR="007B6A52">
        <w:rPr>
          <w:rFonts w:ascii="Calibri" w:hAnsi="Calibri" w:cs="Calibri"/>
        </w:rPr>
        <w:t xml:space="preserve">it </w:t>
      </w:r>
      <w:r w:rsidR="00A361FA">
        <w:rPr>
          <w:rFonts w:ascii="Calibri" w:hAnsi="Calibri" w:cs="Calibri"/>
        </w:rPr>
        <w:t xml:space="preserve">is showing signs of recovery and </w:t>
      </w:r>
      <w:r w:rsidR="001B4CC6">
        <w:rPr>
          <w:rFonts w:ascii="Calibri" w:hAnsi="Calibri" w:cs="Calibri"/>
        </w:rPr>
        <w:t>its long-term outlook ‘remains robust’</w:t>
      </w:r>
      <w:r w:rsidR="007B6A52">
        <w:rPr>
          <w:rFonts w:ascii="Calibri" w:hAnsi="Calibri" w:cs="Calibri"/>
        </w:rPr>
        <w:t>. A</w:t>
      </w:r>
      <w:r w:rsidR="001B4CC6">
        <w:rPr>
          <w:rFonts w:ascii="Calibri" w:hAnsi="Calibri" w:cs="Calibri"/>
        </w:rPr>
        <w:t>ccording to</w:t>
      </w:r>
      <w:r w:rsidR="00D232C5">
        <w:rPr>
          <w:rFonts w:ascii="Calibri" w:hAnsi="Calibri" w:cs="Calibri"/>
        </w:rPr>
        <w:t xml:space="preserve"> market intelligence specialist</w:t>
      </w:r>
      <w:r w:rsidR="001B4CC6">
        <w:rPr>
          <w:rFonts w:ascii="Calibri" w:hAnsi="Calibri" w:cs="Calibri"/>
        </w:rPr>
        <w:t xml:space="preserve"> Interact Analysis</w:t>
      </w:r>
      <w:r w:rsidR="007B6A52">
        <w:rPr>
          <w:rFonts w:ascii="Calibri" w:hAnsi="Calibri" w:cs="Calibri"/>
        </w:rPr>
        <w:t>, its</w:t>
      </w:r>
      <w:r w:rsidR="001B4CC6">
        <w:rPr>
          <w:rFonts w:ascii="Calibri" w:hAnsi="Calibri" w:cs="Calibri"/>
        </w:rPr>
        <w:t xml:space="preserve"> </w:t>
      </w:r>
      <w:r w:rsidR="007B6A52">
        <w:rPr>
          <w:rFonts w:ascii="Calibri" w:hAnsi="Calibri" w:cs="Calibri"/>
        </w:rPr>
        <w:t xml:space="preserve">latest research </w:t>
      </w:r>
      <w:r w:rsidR="001B4CC6">
        <w:rPr>
          <w:rFonts w:ascii="Calibri" w:hAnsi="Calibri" w:cs="Calibri"/>
        </w:rPr>
        <w:t xml:space="preserve">indicates that the </w:t>
      </w:r>
      <w:r w:rsidR="00E32C96">
        <w:rPr>
          <w:rFonts w:ascii="Calibri" w:hAnsi="Calibri" w:cs="Calibri"/>
        </w:rPr>
        <w:t xml:space="preserve">outlook out to 2031 for both linear and planar </w:t>
      </w:r>
      <w:r w:rsidR="00B07230">
        <w:rPr>
          <w:rFonts w:ascii="Calibri" w:hAnsi="Calibri" w:cs="Calibri"/>
        </w:rPr>
        <w:t>SCT</w:t>
      </w:r>
      <w:r w:rsidR="00E32C96">
        <w:rPr>
          <w:rFonts w:ascii="Calibri" w:hAnsi="Calibri" w:cs="Calibri"/>
        </w:rPr>
        <w:t xml:space="preserve"> remains positive, with strong growth forecast for both market sectors.</w:t>
      </w:r>
    </w:p>
    <w:p w14:paraId="2A9BBDCA" w14:textId="4533752B" w:rsidR="00E32C96" w:rsidRDefault="00D232C5">
      <w:pPr>
        <w:rPr>
          <w:rFonts w:ascii="Calibri" w:hAnsi="Calibri" w:cs="Calibri"/>
          <w:lang w:val="en-GB"/>
        </w:rPr>
      </w:pPr>
      <w:r>
        <w:rPr>
          <w:rFonts w:ascii="Calibri" w:hAnsi="Calibri" w:cs="Calibri"/>
        </w:rPr>
        <w:t>L</w:t>
      </w:r>
      <w:r w:rsidR="00E32C96">
        <w:rPr>
          <w:rFonts w:ascii="Calibri" w:hAnsi="Calibri" w:cs="Calibri"/>
        </w:rPr>
        <w:t xml:space="preserve">inear smart conveyance technology </w:t>
      </w:r>
      <w:r>
        <w:rPr>
          <w:rFonts w:ascii="Calibri" w:hAnsi="Calibri" w:cs="Calibri"/>
        </w:rPr>
        <w:t>is</w:t>
      </w:r>
      <w:r w:rsidR="00FD13C4">
        <w:rPr>
          <w:rFonts w:ascii="Calibri" w:hAnsi="Calibri" w:cs="Calibri"/>
        </w:rPr>
        <w:t xml:space="preserve"> </w:t>
      </w:r>
      <w:r w:rsidR="00FD13C4" w:rsidRPr="006D4C9F">
        <w:rPr>
          <w:rFonts w:ascii="Calibri" w:hAnsi="Calibri" w:cs="Calibri"/>
          <w:lang w:val="en-GB"/>
        </w:rPr>
        <w:t>based on direct drive linear motor technology, which allows multiple carriers to travel around curved or straight tracks</w:t>
      </w:r>
      <w:r w:rsidR="00FD13C4">
        <w:rPr>
          <w:rFonts w:ascii="Calibri" w:hAnsi="Calibri" w:cs="Calibri"/>
          <w:lang w:val="en-GB"/>
        </w:rPr>
        <w:t xml:space="preserve">. In contrast, planar smart conveyance </w:t>
      </w:r>
      <w:r w:rsidR="008B51E7">
        <w:rPr>
          <w:rFonts w:ascii="Calibri" w:hAnsi="Calibri" w:cs="Calibri"/>
          <w:lang w:val="en-GB"/>
        </w:rPr>
        <w:t xml:space="preserve">allows multiple carriers to </w:t>
      </w:r>
      <w:r w:rsidR="00A8174A" w:rsidRPr="006D4C9F">
        <w:rPr>
          <w:rFonts w:ascii="Calibri" w:hAnsi="Calibri" w:cs="Calibri"/>
          <w:lang w:val="en-GB"/>
        </w:rPr>
        <w:t>travel in two horizontal directions (e.g. X and Y axes)</w:t>
      </w:r>
      <w:r w:rsidR="00A8174A">
        <w:rPr>
          <w:rFonts w:ascii="Calibri" w:hAnsi="Calibri" w:cs="Calibri"/>
          <w:lang w:val="en-GB"/>
        </w:rPr>
        <w:t xml:space="preserve"> and some </w:t>
      </w:r>
      <w:r w:rsidR="00A8174A" w:rsidRPr="006D4C9F">
        <w:rPr>
          <w:rFonts w:ascii="Calibri" w:hAnsi="Calibri" w:cs="Calibri"/>
          <w:lang w:val="en-GB"/>
        </w:rPr>
        <w:t xml:space="preserve">can also </w:t>
      </w:r>
      <w:r w:rsidR="00A8174A">
        <w:rPr>
          <w:rFonts w:ascii="Calibri" w:hAnsi="Calibri" w:cs="Calibri"/>
          <w:lang w:val="en-GB"/>
        </w:rPr>
        <w:t>‘</w:t>
      </w:r>
      <w:r w:rsidR="00A8174A" w:rsidRPr="006D4C9F">
        <w:rPr>
          <w:rFonts w:ascii="Calibri" w:hAnsi="Calibri" w:cs="Calibri"/>
          <w:lang w:val="en-GB"/>
        </w:rPr>
        <w:t>tilt and rotate</w:t>
      </w:r>
      <w:r w:rsidR="00A8174A">
        <w:rPr>
          <w:rFonts w:ascii="Calibri" w:hAnsi="Calibri" w:cs="Calibri"/>
          <w:lang w:val="en-GB"/>
        </w:rPr>
        <w:t>’</w:t>
      </w:r>
      <w:r w:rsidR="00A8174A" w:rsidRPr="006D4C9F">
        <w:rPr>
          <w:rFonts w:ascii="Calibri" w:hAnsi="Calibri" w:cs="Calibri"/>
          <w:lang w:val="en-GB"/>
        </w:rPr>
        <w:t xml:space="preserve"> or make small movements vertically</w:t>
      </w:r>
      <w:r w:rsidR="00A8174A">
        <w:rPr>
          <w:rFonts w:ascii="Calibri" w:hAnsi="Calibri" w:cs="Calibri"/>
          <w:lang w:val="en-GB"/>
        </w:rPr>
        <w:t>.</w:t>
      </w:r>
    </w:p>
    <w:p w14:paraId="3C9F713B" w14:textId="54A7ABF4" w:rsidR="00A8174A" w:rsidRPr="0053579E" w:rsidRDefault="00A8174A" w:rsidP="00A8174A">
      <w:pPr>
        <w:rPr>
          <w:rFonts w:ascii="Calibri" w:hAnsi="Calibri" w:cs="Calibri"/>
          <w:lang w:val="en-GB"/>
        </w:rPr>
      </w:pPr>
      <w:r>
        <w:rPr>
          <w:rFonts w:ascii="Calibri" w:hAnsi="Calibri" w:cs="Calibri"/>
          <w:b/>
          <w:bCs/>
        </w:rPr>
        <w:t xml:space="preserve">Linear smart conveyance technology revenue to </w:t>
      </w:r>
      <w:r w:rsidR="004C71C9">
        <w:rPr>
          <w:rFonts w:ascii="Calibri" w:hAnsi="Calibri" w:cs="Calibri"/>
          <w:b/>
          <w:bCs/>
        </w:rPr>
        <w:t>more than double by 2031</w:t>
      </w:r>
    </w:p>
    <w:p w14:paraId="51F87E7E" w14:textId="24EDE9C3" w:rsidR="00A32708" w:rsidRDefault="00A32708">
      <w:pPr>
        <w:rPr>
          <w:rFonts w:ascii="Calibri" w:hAnsi="Calibri" w:cs="Calibri"/>
        </w:rPr>
      </w:pPr>
      <w:r w:rsidRPr="00556C0F">
        <w:rPr>
          <w:rFonts w:ascii="Calibri" w:hAnsi="Calibri" w:cs="Calibri"/>
        </w:rPr>
        <w:t xml:space="preserve">The global market for linear smart conveyance technology reached $477.5 million in 2025. </w:t>
      </w:r>
      <w:r w:rsidR="0083737D" w:rsidRPr="00556C0F">
        <w:rPr>
          <w:rFonts w:ascii="Calibri" w:hAnsi="Calibri" w:cs="Calibri"/>
        </w:rPr>
        <w:t>Al</w:t>
      </w:r>
      <w:r w:rsidR="00D705C5" w:rsidRPr="00556C0F">
        <w:rPr>
          <w:rFonts w:ascii="Calibri" w:hAnsi="Calibri" w:cs="Calibri"/>
        </w:rPr>
        <w:t>though</w:t>
      </w:r>
      <w:r w:rsidR="00181FAF">
        <w:rPr>
          <w:rFonts w:ascii="Calibri" w:hAnsi="Calibri" w:cs="Calibri"/>
        </w:rPr>
        <w:t xml:space="preserve"> </w:t>
      </w:r>
      <w:r w:rsidR="00556C0F" w:rsidRPr="00556C0F">
        <w:rPr>
          <w:rFonts w:ascii="Calibri" w:hAnsi="Calibri" w:cs="Calibri"/>
        </w:rPr>
        <w:t xml:space="preserve">a slowdown in </w:t>
      </w:r>
      <w:r w:rsidRPr="00556C0F">
        <w:rPr>
          <w:rFonts w:ascii="Calibri" w:hAnsi="Calibri" w:cs="Calibri"/>
        </w:rPr>
        <w:t xml:space="preserve">revenues </w:t>
      </w:r>
      <w:r w:rsidR="00556C0F" w:rsidRPr="00556C0F">
        <w:rPr>
          <w:rFonts w:ascii="Calibri" w:hAnsi="Calibri" w:cs="Calibri"/>
        </w:rPr>
        <w:t>during</w:t>
      </w:r>
      <w:r w:rsidRPr="00556C0F">
        <w:rPr>
          <w:rFonts w:ascii="Calibri" w:hAnsi="Calibri" w:cs="Calibri"/>
        </w:rPr>
        <w:t xml:space="preserve"> 2024 and 2025 </w:t>
      </w:r>
      <w:r w:rsidR="00556C0F" w:rsidRPr="0053579E">
        <w:rPr>
          <w:rFonts w:ascii="Calibri" w:hAnsi="Calibri" w:cs="Calibri"/>
        </w:rPr>
        <w:t>affected</w:t>
      </w:r>
      <w:r w:rsidRPr="00556C0F">
        <w:rPr>
          <w:rFonts w:ascii="Calibri" w:hAnsi="Calibri" w:cs="Calibri"/>
        </w:rPr>
        <w:t xml:space="preserve"> short-term growth, the long-term outlook </w:t>
      </w:r>
      <w:r w:rsidR="00C03ED0" w:rsidRPr="00556C0F">
        <w:rPr>
          <w:rFonts w:ascii="Calibri" w:hAnsi="Calibri" w:cs="Calibri"/>
        </w:rPr>
        <w:t>is</w:t>
      </w:r>
      <w:r w:rsidRPr="00556C0F">
        <w:rPr>
          <w:rFonts w:ascii="Calibri" w:hAnsi="Calibri" w:cs="Calibri"/>
        </w:rPr>
        <w:t xml:space="preserve"> resilient. </w:t>
      </w:r>
      <w:r w:rsidR="00EE78F7" w:rsidRPr="00556C0F">
        <w:rPr>
          <w:rFonts w:ascii="Calibri" w:hAnsi="Calibri" w:cs="Calibri"/>
        </w:rPr>
        <w:t>M</w:t>
      </w:r>
      <w:r w:rsidRPr="00556C0F">
        <w:rPr>
          <w:rFonts w:ascii="Calibri" w:hAnsi="Calibri" w:cs="Calibri"/>
        </w:rPr>
        <w:t xml:space="preserve">arket </w:t>
      </w:r>
      <w:r w:rsidR="00324D2F" w:rsidRPr="00556C0F">
        <w:rPr>
          <w:rFonts w:ascii="Calibri" w:hAnsi="Calibri" w:cs="Calibri"/>
        </w:rPr>
        <w:t>conditions</w:t>
      </w:r>
      <w:r w:rsidR="00FC7478" w:rsidRPr="00556C0F">
        <w:rPr>
          <w:rFonts w:ascii="Calibri" w:hAnsi="Calibri" w:cs="Calibri"/>
        </w:rPr>
        <w:t xml:space="preserve"> </w:t>
      </w:r>
      <w:r w:rsidR="00343B66" w:rsidRPr="00556C0F">
        <w:rPr>
          <w:rFonts w:ascii="Calibri" w:hAnsi="Calibri" w:cs="Calibri"/>
        </w:rPr>
        <w:t>remained</w:t>
      </w:r>
      <w:r w:rsidRPr="00556C0F">
        <w:rPr>
          <w:rFonts w:ascii="Calibri" w:hAnsi="Calibri" w:cs="Calibri"/>
        </w:rPr>
        <w:t xml:space="preserve"> challenging throughout most of 2025</w:t>
      </w:r>
      <w:r w:rsidR="00335985" w:rsidRPr="00556C0F">
        <w:rPr>
          <w:rFonts w:ascii="Calibri" w:hAnsi="Calibri" w:cs="Calibri"/>
        </w:rPr>
        <w:t>,</w:t>
      </w:r>
      <w:r w:rsidRPr="00556C0F">
        <w:rPr>
          <w:rFonts w:ascii="Calibri" w:hAnsi="Calibri" w:cs="Calibri"/>
        </w:rPr>
        <w:t xml:space="preserve"> reflect</w:t>
      </w:r>
      <w:r w:rsidR="006606F7" w:rsidRPr="00556C0F">
        <w:rPr>
          <w:rFonts w:ascii="Calibri" w:hAnsi="Calibri" w:cs="Calibri"/>
        </w:rPr>
        <w:t>ing</w:t>
      </w:r>
      <w:r w:rsidRPr="00556C0F">
        <w:rPr>
          <w:rFonts w:ascii="Calibri" w:hAnsi="Calibri" w:cs="Calibri"/>
        </w:rPr>
        <w:t xml:space="preserve"> continu</w:t>
      </w:r>
      <w:r w:rsidR="00870E83" w:rsidRPr="00556C0F">
        <w:rPr>
          <w:rFonts w:ascii="Calibri" w:hAnsi="Calibri" w:cs="Calibri"/>
        </w:rPr>
        <w:t>i</w:t>
      </w:r>
      <w:r w:rsidR="00403874" w:rsidRPr="00556C0F">
        <w:rPr>
          <w:rFonts w:ascii="Calibri" w:hAnsi="Calibri" w:cs="Calibri"/>
        </w:rPr>
        <w:t>ng</w:t>
      </w:r>
      <w:r w:rsidRPr="00556C0F">
        <w:rPr>
          <w:rFonts w:ascii="Calibri" w:hAnsi="Calibri" w:cs="Calibri"/>
        </w:rPr>
        <w:t xml:space="preserve"> weakness across broader industrial automation markets</w:t>
      </w:r>
      <w:r w:rsidR="00181FAF">
        <w:rPr>
          <w:rFonts w:ascii="Calibri" w:hAnsi="Calibri" w:cs="Calibri"/>
        </w:rPr>
        <w:t>, but</w:t>
      </w:r>
      <w:r w:rsidRPr="00556C0F">
        <w:rPr>
          <w:rFonts w:ascii="Calibri" w:hAnsi="Calibri" w:cs="Calibri"/>
        </w:rPr>
        <w:t xml:space="preserve"> orders began to increase toward the end of </w:t>
      </w:r>
      <w:r w:rsidR="00181FAF">
        <w:rPr>
          <w:rFonts w:ascii="Calibri" w:hAnsi="Calibri" w:cs="Calibri"/>
        </w:rPr>
        <w:t>the year</w:t>
      </w:r>
      <w:r w:rsidR="00AA16D6" w:rsidRPr="00556C0F">
        <w:rPr>
          <w:rFonts w:ascii="Calibri" w:hAnsi="Calibri" w:cs="Calibri"/>
        </w:rPr>
        <w:t>,</w:t>
      </w:r>
      <w:r w:rsidRPr="00556C0F">
        <w:rPr>
          <w:rFonts w:ascii="Calibri" w:hAnsi="Calibri" w:cs="Calibri"/>
        </w:rPr>
        <w:t xml:space="preserve"> provid</w:t>
      </w:r>
      <w:r w:rsidR="00326DEB" w:rsidRPr="00556C0F">
        <w:rPr>
          <w:rFonts w:ascii="Calibri" w:hAnsi="Calibri" w:cs="Calibri"/>
        </w:rPr>
        <w:t>ing</w:t>
      </w:r>
      <w:r w:rsidRPr="00556C0F">
        <w:rPr>
          <w:rFonts w:ascii="Calibri" w:hAnsi="Calibri" w:cs="Calibri"/>
        </w:rPr>
        <w:t xml:space="preserve"> an early indication of improving market conditions in 2026.</w:t>
      </w:r>
    </w:p>
    <w:p w14:paraId="7DE58DD7" w14:textId="626560FE" w:rsidR="0006125F" w:rsidRDefault="0006125F">
      <w:pPr>
        <w:rPr>
          <w:rFonts w:ascii="Calibri" w:hAnsi="Calibri" w:cs="Calibri"/>
        </w:rPr>
      </w:pPr>
      <w:r w:rsidRPr="73068B75">
        <w:rPr>
          <w:rFonts w:ascii="Calibri" w:hAnsi="Calibri" w:cs="Calibri"/>
        </w:rPr>
        <w:t>Long-term growth for linear SCT is projected to achieve an average annual growth rate of 16% out to 2031</w:t>
      </w:r>
      <w:r w:rsidR="00055480" w:rsidRPr="73068B75">
        <w:rPr>
          <w:rFonts w:ascii="Calibri" w:hAnsi="Calibri" w:cs="Calibri"/>
        </w:rPr>
        <w:t xml:space="preserve">, </w:t>
      </w:r>
      <w:r w:rsidR="001D0A66" w:rsidRPr="73068B75">
        <w:rPr>
          <w:rFonts w:ascii="Calibri" w:hAnsi="Calibri" w:cs="Calibri"/>
        </w:rPr>
        <w:t xml:space="preserve">more than doubling to </w:t>
      </w:r>
      <w:r w:rsidR="00055480" w:rsidRPr="73068B75">
        <w:rPr>
          <w:rFonts w:ascii="Calibri" w:hAnsi="Calibri" w:cs="Calibri"/>
        </w:rPr>
        <w:t xml:space="preserve">reach </w:t>
      </w:r>
      <w:r w:rsidR="001D0A66" w:rsidRPr="73068B75">
        <w:rPr>
          <w:rFonts w:ascii="Calibri" w:hAnsi="Calibri" w:cs="Calibri"/>
        </w:rPr>
        <w:t>$1.2 billion by the end of the forecast period. Market volatility is expected to be m</w:t>
      </w:r>
      <w:r w:rsidR="00055480" w:rsidRPr="73068B75">
        <w:rPr>
          <w:rFonts w:ascii="Calibri" w:hAnsi="Calibri" w:cs="Calibri"/>
        </w:rPr>
        <w:t xml:space="preserve">oderate as new vendors enter the </w:t>
      </w:r>
      <w:proofErr w:type="gramStart"/>
      <w:r w:rsidR="00055480" w:rsidRPr="73068B75">
        <w:rPr>
          <w:rFonts w:ascii="Calibri" w:hAnsi="Calibri" w:cs="Calibri"/>
        </w:rPr>
        <w:t>market</w:t>
      </w:r>
      <w:proofErr w:type="gramEnd"/>
      <w:r w:rsidR="00055480" w:rsidRPr="73068B75">
        <w:rPr>
          <w:rFonts w:ascii="Calibri" w:hAnsi="Calibri" w:cs="Calibri"/>
        </w:rPr>
        <w:t xml:space="preserve"> and the application base diversifies.  </w:t>
      </w:r>
      <w:r w:rsidR="00C63778" w:rsidRPr="73068B75">
        <w:rPr>
          <w:rFonts w:ascii="Calibri" w:hAnsi="Calibri" w:cs="Calibri"/>
        </w:rPr>
        <w:t xml:space="preserve">The </w:t>
      </w:r>
      <w:r w:rsidR="00D06DD5" w:rsidRPr="73068B75">
        <w:rPr>
          <w:rFonts w:ascii="Calibri" w:hAnsi="Calibri" w:cs="Calibri"/>
        </w:rPr>
        <w:t xml:space="preserve">linear smart conveyance market is </w:t>
      </w:r>
      <w:r w:rsidR="00C63778" w:rsidRPr="73068B75">
        <w:rPr>
          <w:rFonts w:ascii="Calibri" w:hAnsi="Calibri" w:cs="Calibri"/>
        </w:rPr>
        <w:t>becoming more differentiated by payload</w:t>
      </w:r>
      <w:r w:rsidR="00D06DD5" w:rsidRPr="73068B75">
        <w:rPr>
          <w:rFonts w:ascii="Calibri" w:hAnsi="Calibri" w:cs="Calibri"/>
        </w:rPr>
        <w:t>,</w:t>
      </w:r>
      <w:r w:rsidR="00C63778" w:rsidRPr="73068B75">
        <w:rPr>
          <w:rFonts w:ascii="Calibri" w:hAnsi="Calibri" w:cs="Calibri"/>
        </w:rPr>
        <w:t xml:space="preserve"> with growth gradually shifting towards heavier payloads and more </w:t>
      </w:r>
      <w:proofErr w:type="gramStart"/>
      <w:r w:rsidR="00C63778" w:rsidRPr="73068B75">
        <w:rPr>
          <w:rFonts w:ascii="Calibri" w:hAnsi="Calibri" w:cs="Calibri"/>
        </w:rPr>
        <w:t>technically-demanding</w:t>
      </w:r>
      <w:proofErr w:type="gramEnd"/>
      <w:r w:rsidR="00C63778" w:rsidRPr="73068B75">
        <w:rPr>
          <w:rFonts w:ascii="Calibri" w:hAnsi="Calibri" w:cs="Calibri"/>
        </w:rPr>
        <w:t xml:space="preserve"> applications</w:t>
      </w:r>
      <w:r w:rsidR="06D390E9" w:rsidRPr="73068B75">
        <w:rPr>
          <w:rFonts w:ascii="Calibri" w:hAnsi="Calibri" w:cs="Calibri"/>
        </w:rPr>
        <w:t>.</w:t>
      </w:r>
    </w:p>
    <w:p w14:paraId="28612136" w14:textId="56A8B72F" w:rsidR="00B07230" w:rsidRPr="0053579E" w:rsidRDefault="009B05ED" w:rsidP="00B07230">
      <w:pPr>
        <w:rPr>
          <w:rFonts w:ascii="Calibri" w:hAnsi="Calibri" w:cs="Calibri"/>
          <w:b/>
          <w:bCs/>
        </w:rPr>
      </w:pPr>
      <w:r>
        <w:rPr>
          <w:rFonts w:ascii="Calibri" w:hAnsi="Calibri" w:cs="Calibri"/>
          <w:b/>
          <w:bCs/>
        </w:rPr>
        <w:t>Transition to commercial deployments to push p</w:t>
      </w:r>
      <w:r w:rsidR="00B07230" w:rsidRPr="0053579E">
        <w:rPr>
          <w:rFonts w:ascii="Calibri" w:hAnsi="Calibri" w:cs="Calibri"/>
          <w:b/>
          <w:bCs/>
        </w:rPr>
        <w:t xml:space="preserve">lanar SCT </w:t>
      </w:r>
      <w:r w:rsidR="004C71C9" w:rsidRPr="0053579E">
        <w:rPr>
          <w:rFonts w:ascii="Calibri" w:hAnsi="Calibri" w:cs="Calibri"/>
          <w:b/>
          <w:bCs/>
        </w:rPr>
        <w:t>revenue to $218m in 2031</w:t>
      </w:r>
    </w:p>
    <w:p w14:paraId="03CFC223" w14:textId="1B4205AC" w:rsidR="00815E1D" w:rsidRDefault="00B07230" w:rsidP="007C03CA">
      <w:pPr>
        <w:rPr>
          <w:rFonts w:ascii="Calibri" w:hAnsi="Calibri" w:cs="Calibri"/>
        </w:rPr>
      </w:pPr>
      <w:r>
        <w:rPr>
          <w:rFonts w:ascii="Calibri" w:hAnsi="Calibri" w:cs="Calibri"/>
        </w:rPr>
        <w:t>G</w:t>
      </w:r>
      <w:r w:rsidRPr="009C41F6">
        <w:rPr>
          <w:rFonts w:ascii="Calibri" w:hAnsi="Calibri" w:cs="Calibri"/>
        </w:rPr>
        <w:t xml:space="preserve">lobal </w:t>
      </w:r>
      <w:r>
        <w:rPr>
          <w:rFonts w:ascii="Calibri" w:hAnsi="Calibri" w:cs="Calibri"/>
        </w:rPr>
        <w:t xml:space="preserve">planar SCT </w:t>
      </w:r>
      <w:r w:rsidRPr="009C41F6">
        <w:rPr>
          <w:rFonts w:ascii="Calibri" w:hAnsi="Calibri" w:cs="Calibri"/>
        </w:rPr>
        <w:t xml:space="preserve">revenue is expected to </w:t>
      </w:r>
      <w:r w:rsidR="001D0A66">
        <w:rPr>
          <w:rFonts w:ascii="Calibri" w:hAnsi="Calibri" w:cs="Calibri"/>
        </w:rPr>
        <w:t xml:space="preserve">jump </w:t>
      </w:r>
      <w:r w:rsidRPr="009C41F6">
        <w:rPr>
          <w:rFonts w:ascii="Calibri" w:hAnsi="Calibri" w:cs="Calibri"/>
        </w:rPr>
        <w:t>from $33.4 million in 2025 to $218.4 million in 2031</w:t>
      </w:r>
      <w:r w:rsidR="009169E8">
        <w:rPr>
          <w:rFonts w:ascii="Calibri" w:hAnsi="Calibri" w:cs="Calibri"/>
        </w:rPr>
        <w:t xml:space="preserve">. </w:t>
      </w:r>
      <w:r w:rsidRPr="009C41F6">
        <w:rPr>
          <w:rFonts w:ascii="Calibri" w:hAnsi="Calibri" w:cs="Calibri"/>
        </w:rPr>
        <w:t>Interact Analysis</w:t>
      </w:r>
      <w:r w:rsidR="009169E8">
        <w:rPr>
          <w:rFonts w:ascii="Calibri" w:hAnsi="Calibri" w:cs="Calibri"/>
        </w:rPr>
        <w:t xml:space="preserve"> notes that 2024 marked an inflection point for the planar</w:t>
      </w:r>
      <w:r w:rsidRPr="009C41F6">
        <w:rPr>
          <w:rFonts w:ascii="Calibri" w:hAnsi="Calibri" w:cs="Calibri"/>
        </w:rPr>
        <w:t xml:space="preserve"> </w:t>
      </w:r>
      <w:r w:rsidR="009169E8">
        <w:rPr>
          <w:rFonts w:ascii="Calibri" w:hAnsi="Calibri" w:cs="Calibri"/>
        </w:rPr>
        <w:t xml:space="preserve">motor market as early pilot programs started to transition into </w:t>
      </w:r>
      <w:r w:rsidR="00A32708" w:rsidRPr="009C41F6">
        <w:rPr>
          <w:rFonts w:ascii="Calibri" w:hAnsi="Calibri" w:cs="Calibri"/>
        </w:rPr>
        <w:t>commercial deployments.</w:t>
      </w:r>
      <w:r w:rsidR="00E230AB">
        <w:rPr>
          <w:rFonts w:ascii="Calibri" w:hAnsi="Calibri" w:cs="Calibri"/>
        </w:rPr>
        <w:t xml:space="preserve"> </w:t>
      </w:r>
      <w:r w:rsidR="007C03CA" w:rsidRPr="007C03CA">
        <w:rPr>
          <w:rFonts w:ascii="Calibri" w:hAnsi="Calibri" w:cs="Calibri"/>
        </w:rPr>
        <w:t xml:space="preserve">This shift has generated greater market momentum, </w:t>
      </w:r>
      <w:proofErr w:type="gramStart"/>
      <w:r w:rsidR="007C03CA" w:rsidRPr="007C03CA">
        <w:rPr>
          <w:rFonts w:ascii="Calibri" w:hAnsi="Calibri" w:cs="Calibri"/>
        </w:rPr>
        <w:t>supporting</w:t>
      </w:r>
      <w:proofErr w:type="gramEnd"/>
      <w:r w:rsidR="007C03CA" w:rsidRPr="007C03CA">
        <w:rPr>
          <w:rFonts w:ascii="Calibri" w:hAnsi="Calibri" w:cs="Calibri"/>
        </w:rPr>
        <w:t xml:space="preserve"> the development of new projects and driving significant near-term growth</w:t>
      </w:r>
      <w:r w:rsidR="00E230AB">
        <w:rPr>
          <w:rFonts w:ascii="Calibri" w:hAnsi="Calibri" w:cs="Calibri"/>
        </w:rPr>
        <w:t>.</w:t>
      </w:r>
    </w:p>
    <w:p w14:paraId="115EE4DD" w14:textId="51B26807" w:rsidR="003D5688" w:rsidRPr="0053579E" w:rsidRDefault="0094572C" w:rsidP="003D5688">
      <w:pPr>
        <w:rPr>
          <w:rFonts w:ascii="Calibri" w:hAnsi="Calibri" w:cs="Calibri"/>
        </w:rPr>
      </w:pPr>
      <w:r>
        <w:rPr>
          <w:rFonts w:ascii="Calibri" w:hAnsi="Calibri" w:cs="Calibri"/>
        </w:rPr>
        <w:t>As the</w:t>
      </w:r>
      <w:r w:rsidR="003D5688" w:rsidRPr="003D5688">
        <w:rPr>
          <w:rFonts w:ascii="Calibri" w:hAnsi="Calibri" w:cs="Calibri"/>
        </w:rPr>
        <w:t xml:space="preserve"> range of viable applications broadens</w:t>
      </w:r>
      <w:r w:rsidR="000030C0">
        <w:rPr>
          <w:rFonts w:ascii="Calibri" w:hAnsi="Calibri" w:cs="Calibri"/>
        </w:rPr>
        <w:t>, the competitive landscape evolves,</w:t>
      </w:r>
      <w:r w:rsidR="003D5688" w:rsidRPr="003D5688">
        <w:rPr>
          <w:rFonts w:ascii="Calibri" w:hAnsi="Calibri" w:cs="Calibri"/>
        </w:rPr>
        <w:t xml:space="preserve"> and customer adoption increases</w:t>
      </w:r>
      <w:r>
        <w:rPr>
          <w:rFonts w:ascii="Calibri" w:hAnsi="Calibri" w:cs="Calibri"/>
        </w:rPr>
        <w:t xml:space="preserve"> in the planar smart conveyance technology market, it is </w:t>
      </w:r>
      <w:r w:rsidR="00515932">
        <w:rPr>
          <w:rFonts w:ascii="Calibri" w:hAnsi="Calibri" w:cs="Calibri"/>
        </w:rPr>
        <w:t>projected</w:t>
      </w:r>
      <w:r w:rsidRPr="003D5688">
        <w:rPr>
          <w:rFonts w:ascii="Calibri" w:hAnsi="Calibri" w:cs="Calibri"/>
        </w:rPr>
        <w:t xml:space="preserve"> to continue expanding through 2031</w:t>
      </w:r>
      <w:r w:rsidR="002953C9">
        <w:rPr>
          <w:rFonts w:ascii="Calibri" w:hAnsi="Calibri" w:cs="Calibri"/>
        </w:rPr>
        <w:t xml:space="preserve">. However, </w:t>
      </w:r>
      <w:r w:rsidR="003D5688" w:rsidRPr="003D5688">
        <w:rPr>
          <w:rFonts w:ascii="Calibri" w:hAnsi="Calibri" w:cs="Calibri"/>
        </w:rPr>
        <w:t xml:space="preserve">demonstrating sufficient return on investment </w:t>
      </w:r>
      <w:r w:rsidR="002953C9">
        <w:rPr>
          <w:rFonts w:ascii="Calibri" w:hAnsi="Calibri" w:cs="Calibri"/>
        </w:rPr>
        <w:t>because of</w:t>
      </w:r>
      <w:r w:rsidR="003D5688" w:rsidRPr="003D5688">
        <w:rPr>
          <w:rFonts w:ascii="Calibri" w:hAnsi="Calibri" w:cs="Calibri"/>
        </w:rPr>
        <w:t xml:space="preserve"> the systems’ high upfront cost</w:t>
      </w:r>
      <w:r w:rsidR="002953C9">
        <w:rPr>
          <w:rFonts w:ascii="Calibri" w:hAnsi="Calibri" w:cs="Calibri"/>
        </w:rPr>
        <w:t xml:space="preserve"> remains the primary barrier to adoption.</w:t>
      </w:r>
    </w:p>
    <w:p w14:paraId="0223F117" w14:textId="77777777" w:rsidR="00E230AB" w:rsidRPr="0053579E" w:rsidRDefault="00E230AB" w:rsidP="007C03CA">
      <w:pPr>
        <w:rPr>
          <w:rFonts w:ascii="Calibri" w:hAnsi="Calibri" w:cs="Calibri"/>
          <w:lang w:val="en-GB"/>
        </w:rPr>
      </w:pPr>
    </w:p>
    <w:p w14:paraId="7E00D5FE" w14:textId="17222B2E" w:rsidR="00297999" w:rsidRDefault="009B05ED" w:rsidP="00BC6F6B">
      <w:pPr>
        <w:rPr>
          <w:rFonts w:ascii="Calibri" w:hAnsi="Calibri" w:cs="Calibri"/>
        </w:rPr>
      </w:pPr>
      <w:r>
        <w:rPr>
          <w:rFonts w:ascii="Calibri" w:hAnsi="Calibri" w:cs="Calibri"/>
          <w:b/>
          <w:bCs/>
        </w:rPr>
        <w:lastRenderedPageBreak/>
        <w:t>Asia-Pacific dominates</w:t>
      </w:r>
      <w:r w:rsidR="006F49A1" w:rsidRPr="009C41F6">
        <w:rPr>
          <w:rFonts w:ascii="Calibri" w:hAnsi="Calibri" w:cs="Calibri"/>
          <w:b/>
          <w:bCs/>
        </w:rPr>
        <w:t xml:space="preserve"> </w:t>
      </w:r>
      <w:r w:rsidR="002953C9">
        <w:rPr>
          <w:rFonts w:ascii="Calibri" w:hAnsi="Calibri" w:cs="Calibri"/>
          <w:b/>
          <w:bCs/>
        </w:rPr>
        <w:t>l</w:t>
      </w:r>
      <w:r w:rsidR="001C52F8" w:rsidRPr="009C41F6">
        <w:rPr>
          <w:rFonts w:ascii="Calibri" w:hAnsi="Calibri" w:cs="Calibri"/>
          <w:b/>
          <w:bCs/>
        </w:rPr>
        <w:t xml:space="preserve">inear </w:t>
      </w:r>
      <w:r>
        <w:rPr>
          <w:rFonts w:ascii="Calibri" w:hAnsi="Calibri" w:cs="Calibri"/>
          <w:b/>
          <w:bCs/>
        </w:rPr>
        <w:t xml:space="preserve">SCT market, while Americas and EMEA see strong </w:t>
      </w:r>
      <w:r w:rsidR="002953C9">
        <w:rPr>
          <w:rFonts w:ascii="Calibri" w:hAnsi="Calibri" w:cs="Calibri"/>
          <w:b/>
          <w:bCs/>
        </w:rPr>
        <w:t>p</w:t>
      </w:r>
      <w:r w:rsidR="001C52F8" w:rsidRPr="009C41F6">
        <w:rPr>
          <w:rFonts w:ascii="Calibri" w:hAnsi="Calibri" w:cs="Calibri"/>
          <w:b/>
          <w:bCs/>
        </w:rPr>
        <w:t>lanar SCT</w:t>
      </w:r>
      <w:r>
        <w:rPr>
          <w:rFonts w:ascii="Calibri" w:hAnsi="Calibri" w:cs="Calibri"/>
          <w:b/>
          <w:bCs/>
        </w:rPr>
        <w:t xml:space="preserve"> growth</w:t>
      </w:r>
    </w:p>
    <w:p w14:paraId="29DFC0D1" w14:textId="24ED465E" w:rsidR="00465026" w:rsidRDefault="005545C8">
      <w:pPr>
        <w:rPr>
          <w:rFonts w:ascii="Calibri" w:hAnsi="Calibri" w:cs="Calibri"/>
        </w:rPr>
      </w:pPr>
      <w:r>
        <w:rPr>
          <w:rFonts w:ascii="Calibri" w:hAnsi="Calibri" w:cs="Calibri"/>
        </w:rPr>
        <w:t xml:space="preserve">The </w:t>
      </w:r>
      <w:r w:rsidR="00764030">
        <w:rPr>
          <w:rFonts w:ascii="Calibri" w:hAnsi="Calibri" w:cs="Calibri"/>
        </w:rPr>
        <w:t>Asi</w:t>
      </w:r>
      <w:r w:rsidR="00A31D10">
        <w:rPr>
          <w:rFonts w:ascii="Calibri" w:hAnsi="Calibri" w:cs="Calibri"/>
        </w:rPr>
        <w:t>a-Pa</w:t>
      </w:r>
      <w:r w:rsidR="00C36D1C">
        <w:rPr>
          <w:rFonts w:ascii="Calibri" w:hAnsi="Calibri" w:cs="Calibri"/>
        </w:rPr>
        <w:t>c</w:t>
      </w:r>
      <w:r w:rsidR="00CA6299">
        <w:rPr>
          <w:rFonts w:ascii="Calibri" w:hAnsi="Calibri" w:cs="Calibri"/>
        </w:rPr>
        <w:t>i</w:t>
      </w:r>
      <w:r w:rsidR="00C36D1C">
        <w:rPr>
          <w:rFonts w:ascii="Calibri" w:hAnsi="Calibri" w:cs="Calibri"/>
        </w:rPr>
        <w:t xml:space="preserve">fic </w:t>
      </w:r>
      <w:r w:rsidR="00FD303E">
        <w:rPr>
          <w:rFonts w:ascii="Calibri" w:hAnsi="Calibri" w:cs="Calibri"/>
        </w:rPr>
        <w:t>region (</w:t>
      </w:r>
      <w:r w:rsidR="00E422A4" w:rsidRPr="009C41F6">
        <w:rPr>
          <w:rFonts w:ascii="Calibri" w:hAnsi="Calibri" w:cs="Calibri"/>
        </w:rPr>
        <w:t>APA</w:t>
      </w:r>
      <w:r w:rsidR="004267EA">
        <w:rPr>
          <w:rFonts w:ascii="Calibri" w:hAnsi="Calibri" w:cs="Calibri"/>
        </w:rPr>
        <w:t>C</w:t>
      </w:r>
      <w:r w:rsidR="00337254">
        <w:rPr>
          <w:rFonts w:ascii="Calibri" w:hAnsi="Calibri" w:cs="Calibri"/>
        </w:rPr>
        <w:t>)</w:t>
      </w:r>
      <w:r w:rsidR="00E422A4" w:rsidRPr="009C41F6">
        <w:rPr>
          <w:rFonts w:ascii="Calibri" w:hAnsi="Calibri" w:cs="Calibri"/>
        </w:rPr>
        <w:t xml:space="preserve"> performed comparatively better than </w:t>
      </w:r>
      <w:r w:rsidR="00BE2E8A">
        <w:rPr>
          <w:rFonts w:ascii="Calibri" w:hAnsi="Calibri" w:cs="Calibri"/>
        </w:rPr>
        <w:t xml:space="preserve">both </w:t>
      </w:r>
      <w:r w:rsidR="00E422A4" w:rsidRPr="009C41F6">
        <w:rPr>
          <w:rFonts w:ascii="Calibri" w:hAnsi="Calibri" w:cs="Calibri"/>
        </w:rPr>
        <w:t xml:space="preserve">the Americas and </w:t>
      </w:r>
      <w:r w:rsidR="006C2C17">
        <w:rPr>
          <w:rFonts w:ascii="Calibri" w:hAnsi="Calibri" w:cs="Calibri"/>
        </w:rPr>
        <w:t>E</w:t>
      </w:r>
      <w:r w:rsidR="00F06C52">
        <w:rPr>
          <w:rFonts w:ascii="Calibri" w:hAnsi="Calibri" w:cs="Calibri"/>
        </w:rPr>
        <w:t>urope,</w:t>
      </w:r>
      <w:r w:rsidR="00B83D25">
        <w:rPr>
          <w:rFonts w:ascii="Calibri" w:hAnsi="Calibri" w:cs="Calibri"/>
        </w:rPr>
        <w:t xml:space="preserve"> the Mi</w:t>
      </w:r>
      <w:r w:rsidR="001F6960">
        <w:rPr>
          <w:rFonts w:ascii="Calibri" w:hAnsi="Calibri" w:cs="Calibri"/>
        </w:rPr>
        <w:t xml:space="preserve">ddle </w:t>
      </w:r>
      <w:r w:rsidR="0098202A">
        <w:rPr>
          <w:rFonts w:ascii="Calibri" w:hAnsi="Calibri" w:cs="Calibri"/>
        </w:rPr>
        <w:t>East</w:t>
      </w:r>
      <w:r w:rsidR="00B21D30">
        <w:rPr>
          <w:rFonts w:ascii="Calibri" w:hAnsi="Calibri" w:cs="Calibri"/>
        </w:rPr>
        <w:t>,</w:t>
      </w:r>
      <w:r w:rsidR="0098202A">
        <w:rPr>
          <w:rFonts w:ascii="Calibri" w:hAnsi="Calibri" w:cs="Calibri"/>
        </w:rPr>
        <w:t xml:space="preserve"> and</w:t>
      </w:r>
      <w:r w:rsidR="007A0809">
        <w:rPr>
          <w:rFonts w:ascii="Calibri" w:hAnsi="Calibri" w:cs="Calibri"/>
        </w:rPr>
        <w:t xml:space="preserve"> Afri</w:t>
      </w:r>
      <w:r w:rsidR="008B0244">
        <w:rPr>
          <w:rFonts w:ascii="Calibri" w:hAnsi="Calibri" w:cs="Calibri"/>
        </w:rPr>
        <w:t>ca (</w:t>
      </w:r>
      <w:r w:rsidR="00E422A4" w:rsidRPr="009C41F6">
        <w:rPr>
          <w:rFonts w:ascii="Calibri" w:hAnsi="Calibri" w:cs="Calibri"/>
        </w:rPr>
        <w:t>EMEA</w:t>
      </w:r>
      <w:r w:rsidR="00F664EF">
        <w:rPr>
          <w:rFonts w:ascii="Calibri" w:hAnsi="Calibri" w:cs="Calibri"/>
        </w:rPr>
        <w:t>)</w:t>
      </w:r>
      <w:r w:rsidR="006D243D">
        <w:rPr>
          <w:rFonts w:ascii="Calibri" w:hAnsi="Calibri" w:cs="Calibri"/>
        </w:rPr>
        <w:t xml:space="preserve"> in 2025</w:t>
      </w:r>
      <w:r w:rsidR="006E4282">
        <w:rPr>
          <w:rFonts w:ascii="Calibri" w:hAnsi="Calibri" w:cs="Calibri"/>
        </w:rPr>
        <w:t xml:space="preserve">. APAC </w:t>
      </w:r>
      <w:r w:rsidR="00E422A4" w:rsidRPr="009C41F6">
        <w:rPr>
          <w:rFonts w:ascii="Calibri" w:hAnsi="Calibri" w:cs="Calibri"/>
        </w:rPr>
        <w:t xml:space="preserve">remained the largest global regional market for linear </w:t>
      </w:r>
      <w:r w:rsidR="009835C2">
        <w:rPr>
          <w:rFonts w:ascii="Calibri" w:hAnsi="Calibri" w:cs="Calibri"/>
        </w:rPr>
        <w:t>s</w:t>
      </w:r>
      <w:r w:rsidR="00E422A4" w:rsidRPr="009C41F6">
        <w:rPr>
          <w:rFonts w:ascii="Calibri" w:hAnsi="Calibri" w:cs="Calibri"/>
        </w:rPr>
        <w:t xml:space="preserve">mart </w:t>
      </w:r>
      <w:r w:rsidR="00B83BB9">
        <w:rPr>
          <w:rFonts w:ascii="Calibri" w:hAnsi="Calibri" w:cs="Calibri"/>
        </w:rPr>
        <w:t>c</w:t>
      </w:r>
      <w:r w:rsidR="00E422A4" w:rsidRPr="009C41F6">
        <w:rPr>
          <w:rFonts w:ascii="Calibri" w:hAnsi="Calibri" w:cs="Calibri"/>
        </w:rPr>
        <w:t xml:space="preserve">onveyance </w:t>
      </w:r>
      <w:r w:rsidR="00BA30CC">
        <w:rPr>
          <w:rFonts w:ascii="Calibri" w:hAnsi="Calibri" w:cs="Calibri"/>
        </w:rPr>
        <w:t>t</w:t>
      </w:r>
      <w:r w:rsidR="00E422A4" w:rsidRPr="009C41F6">
        <w:rPr>
          <w:rFonts w:ascii="Calibri" w:hAnsi="Calibri" w:cs="Calibri"/>
        </w:rPr>
        <w:t>echnology, generating $234.3 million</w:t>
      </w:r>
      <w:r w:rsidR="000407F4">
        <w:rPr>
          <w:rFonts w:ascii="Calibri" w:hAnsi="Calibri" w:cs="Calibri"/>
        </w:rPr>
        <w:t>, s</w:t>
      </w:r>
      <w:r w:rsidR="00E422A4" w:rsidRPr="009C41F6">
        <w:rPr>
          <w:rFonts w:ascii="Calibri" w:hAnsi="Calibri" w:cs="Calibri"/>
        </w:rPr>
        <w:t xml:space="preserve">upported by continued investment in battery manufacturing, semiconductor and electronics productions, and domestic industrial automation. </w:t>
      </w:r>
      <w:r w:rsidR="00206525">
        <w:rPr>
          <w:rFonts w:ascii="Calibri" w:hAnsi="Calibri" w:cs="Calibri"/>
        </w:rPr>
        <w:t>M</w:t>
      </w:r>
      <w:r w:rsidR="00E422A4" w:rsidRPr="009C41F6">
        <w:rPr>
          <w:rFonts w:ascii="Calibri" w:hAnsi="Calibri" w:cs="Calibri"/>
        </w:rPr>
        <w:t xml:space="preserve">arket conditions in the Americas and EMEA for </w:t>
      </w:r>
      <w:r w:rsidR="00522A5B">
        <w:rPr>
          <w:rFonts w:ascii="Calibri" w:hAnsi="Calibri" w:cs="Calibri"/>
        </w:rPr>
        <w:t>l</w:t>
      </w:r>
      <w:r w:rsidR="00E422A4" w:rsidRPr="009C41F6">
        <w:rPr>
          <w:rFonts w:ascii="Calibri" w:hAnsi="Calibri" w:cs="Calibri"/>
        </w:rPr>
        <w:t xml:space="preserve">inear </w:t>
      </w:r>
      <w:proofErr w:type="gramStart"/>
      <w:r w:rsidR="00E422A4" w:rsidRPr="009C41F6">
        <w:rPr>
          <w:rFonts w:ascii="Calibri" w:hAnsi="Calibri" w:cs="Calibri"/>
        </w:rPr>
        <w:t>SCT,</w:t>
      </w:r>
      <w:proofErr w:type="gramEnd"/>
      <w:r w:rsidR="00E422A4" w:rsidRPr="009C41F6">
        <w:rPr>
          <w:rFonts w:ascii="Calibri" w:hAnsi="Calibri" w:cs="Calibri"/>
        </w:rPr>
        <w:t xml:space="preserve"> remained challenging as cautious capital expenditure and slower investment in battery and automotive manufacturing constrained demand.</w:t>
      </w:r>
    </w:p>
    <w:p w14:paraId="62E39903" w14:textId="589E9E8C" w:rsidR="00E422A4" w:rsidRPr="009C41F6" w:rsidRDefault="00E422A4">
      <w:pPr>
        <w:rPr>
          <w:rFonts w:ascii="Calibri" w:hAnsi="Calibri" w:cs="Calibri"/>
        </w:rPr>
      </w:pPr>
      <w:r w:rsidRPr="009C41F6">
        <w:rPr>
          <w:rFonts w:ascii="Calibri" w:hAnsi="Calibri" w:cs="Calibri"/>
        </w:rPr>
        <w:t>In contrast, EMEA is currently the largest planar smart conveyance market</w:t>
      </w:r>
      <w:r w:rsidR="000407F4">
        <w:rPr>
          <w:rFonts w:ascii="Calibri" w:hAnsi="Calibri" w:cs="Calibri"/>
        </w:rPr>
        <w:t>,</w:t>
      </w:r>
      <w:r w:rsidRPr="009C41F6">
        <w:rPr>
          <w:rFonts w:ascii="Calibri" w:hAnsi="Calibri" w:cs="Calibri"/>
        </w:rPr>
        <w:t xml:space="preserve"> with revenue projected to increase from $19.2</w:t>
      </w:r>
      <w:r w:rsidR="00492B99">
        <w:rPr>
          <w:rFonts w:ascii="Calibri" w:hAnsi="Calibri" w:cs="Calibri"/>
        </w:rPr>
        <w:t xml:space="preserve"> </w:t>
      </w:r>
      <w:r w:rsidRPr="009C41F6">
        <w:rPr>
          <w:rFonts w:ascii="Calibri" w:hAnsi="Calibri" w:cs="Calibri"/>
        </w:rPr>
        <w:t>m</w:t>
      </w:r>
      <w:r w:rsidR="00122FF3">
        <w:rPr>
          <w:rFonts w:ascii="Calibri" w:hAnsi="Calibri" w:cs="Calibri"/>
        </w:rPr>
        <w:t>illion</w:t>
      </w:r>
      <w:r w:rsidR="005D1201">
        <w:rPr>
          <w:rFonts w:ascii="Calibri" w:hAnsi="Calibri" w:cs="Calibri"/>
        </w:rPr>
        <w:t xml:space="preserve"> in 2025</w:t>
      </w:r>
      <w:r w:rsidRPr="009C41F6">
        <w:rPr>
          <w:rFonts w:ascii="Calibri" w:hAnsi="Calibri" w:cs="Calibri"/>
        </w:rPr>
        <w:t xml:space="preserve"> to $129.1</w:t>
      </w:r>
      <w:r w:rsidR="00E92B06">
        <w:rPr>
          <w:rFonts w:ascii="Calibri" w:hAnsi="Calibri" w:cs="Calibri"/>
        </w:rPr>
        <w:t xml:space="preserve"> </w:t>
      </w:r>
      <w:r w:rsidRPr="009C41F6">
        <w:rPr>
          <w:rFonts w:ascii="Calibri" w:hAnsi="Calibri" w:cs="Calibri"/>
        </w:rPr>
        <w:t>m</w:t>
      </w:r>
      <w:r w:rsidR="00E92B06">
        <w:rPr>
          <w:rFonts w:ascii="Calibri" w:hAnsi="Calibri" w:cs="Calibri"/>
        </w:rPr>
        <w:t>illion</w:t>
      </w:r>
      <w:r w:rsidRPr="009C41F6">
        <w:rPr>
          <w:rFonts w:ascii="Calibri" w:hAnsi="Calibri" w:cs="Calibri"/>
        </w:rPr>
        <w:t xml:space="preserve"> in 2031</w:t>
      </w:r>
      <w:r w:rsidR="004D725D">
        <w:rPr>
          <w:rFonts w:ascii="Calibri" w:hAnsi="Calibri" w:cs="Calibri"/>
        </w:rPr>
        <w:t>, f</w:t>
      </w:r>
      <w:r w:rsidRPr="009C41F6">
        <w:rPr>
          <w:rFonts w:ascii="Calibri" w:hAnsi="Calibri" w:cs="Calibri"/>
        </w:rPr>
        <w:t>ollowed by the America</w:t>
      </w:r>
      <w:r w:rsidR="00474501">
        <w:rPr>
          <w:rFonts w:ascii="Calibri" w:hAnsi="Calibri" w:cs="Calibri"/>
        </w:rPr>
        <w:t>s</w:t>
      </w:r>
      <w:r w:rsidR="00EE0902">
        <w:rPr>
          <w:rFonts w:ascii="Calibri" w:hAnsi="Calibri" w:cs="Calibri"/>
        </w:rPr>
        <w:t>,</w:t>
      </w:r>
      <w:r w:rsidRPr="009C41F6">
        <w:rPr>
          <w:rFonts w:ascii="Calibri" w:hAnsi="Calibri" w:cs="Calibri"/>
        </w:rPr>
        <w:t xml:space="preserve"> with revenue </w:t>
      </w:r>
      <w:r w:rsidR="00592C6D">
        <w:rPr>
          <w:rFonts w:ascii="Calibri" w:hAnsi="Calibri" w:cs="Calibri"/>
        </w:rPr>
        <w:t>grow</w:t>
      </w:r>
      <w:r w:rsidR="003A7367">
        <w:rPr>
          <w:rFonts w:ascii="Calibri" w:hAnsi="Calibri" w:cs="Calibri"/>
        </w:rPr>
        <w:t>th</w:t>
      </w:r>
      <w:r w:rsidRPr="009C41F6">
        <w:rPr>
          <w:rFonts w:ascii="Calibri" w:hAnsi="Calibri" w:cs="Calibri"/>
        </w:rPr>
        <w:t xml:space="preserve"> from $13.3</w:t>
      </w:r>
      <w:r w:rsidR="006F09F3">
        <w:rPr>
          <w:rFonts w:ascii="Calibri" w:hAnsi="Calibri" w:cs="Calibri"/>
        </w:rPr>
        <w:t xml:space="preserve"> </w:t>
      </w:r>
      <w:r w:rsidRPr="009C41F6">
        <w:rPr>
          <w:rFonts w:ascii="Calibri" w:hAnsi="Calibri" w:cs="Calibri"/>
        </w:rPr>
        <w:t>m</w:t>
      </w:r>
      <w:r w:rsidR="00816AD8">
        <w:rPr>
          <w:rFonts w:ascii="Calibri" w:hAnsi="Calibri" w:cs="Calibri"/>
        </w:rPr>
        <w:t>illion</w:t>
      </w:r>
      <w:r w:rsidRPr="009C41F6">
        <w:rPr>
          <w:rFonts w:ascii="Calibri" w:hAnsi="Calibri" w:cs="Calibri"/>
        </w:rPr>
        <w:t xml:space="preserve"> to $80.2</w:t>
      </w:r>
      <w:r w:rsidR="00FD46D9">
        <w:rPr>
          <w:rFonts w:ascii="Calibri" w:hAnsi="Calibri" w:cs="Calibri"/>
        </w:rPr>
        <w:t xml:space="preserve"> </w:t>
      </w:r>
      <w:r w:rsidRPr="009C41F6">
        <w:rPr>
          <w:rFonts w:ascii="Calibri" w:hAnsi="Calibri" w:cs="Calibri"/>
        </w:rPr>
        <w:t>m</w:t>
      </w:r>
      <w:r w:rsidR="006C42D0">
        <w:rPr>
          <w:rFonts w:ascii="Calibri" w:hAnsi="Calibri" w:cs="Calibri"/>
        </w:rPr>
        <w:t>illio</w:t>
      </w:r>
      <w:r w:rsidR="002944E0">
        <w:rPr>
          <w:rFonts w:ascii="Calibri" w:hAnsi="Calibri" w:cs="Calibri"/>
        </w:rPr>
        <w:t>n</w:t>
      </w:r>
      <w:r w:rsidRPr="009C41F6">
        <w:rPr>
          <w:rFonts w:ascii="Calibri" w:hAnsi="Calibri" w:cs="Calibri"/>
        </w:rPr>
        <w:t>. APAC remains considerably smaller</w:t>
      </w:r>
      <w:r w:rsidR="00D46206">
        <w:rPr>
          <w:rFonts w:ascii="Calibri" w:hAnsi="Calibri" w:cs="Calibri"/>
        </w:rPr>
        <w:t xml:space="preserve"> in </w:t>
      </w:r>
      <w:r w:rsidR="00BF68F5">
        <w:rPr>
          <w:rFonts w:ascii="Calibri" w:hAnsi="Calibri" w:cs="Calibri"/>
        </w:rPr>
        <w:t>this</w:t>
      </w:r>
      <w:r w:rsidR="003F61DD">
        <w:rPr>
          <w:rFonts w:ascii="Calibri" w:hAnsi="Calibri" w:cs="Calibri"/>
        </w:rPr>
        <w:t xml:space="preserve"> sec</w:t>
      </w:r>
      <w:r w:rsidR="00E92C32">
        <w:rPr>
          <w:rFonts w:ascii="Calibri" w:hAnsi="Calibri" w:cs="Calibri"/>
        </w:rPr>
        <w:t>tor</w:t>
      </w:r>
      <w:r w:rsidRPr="009C41F6">
        <w:rPr>
          <w:rFonts w:ascii="Calibri" w:hAnsi="Calibri" w:cs="Calibri"/>
        </w:rPr>
        <w:t xml:space="preserve">, with </w:t>
      </w:r>
      <w:r w:rsidR="002C4FF4">
        <w:rPr>
          <w:rFonts w:ascii="Calibri" w:hAnsi="Calibri" w:cs="Calibri"/>
        </w:rPr>
        <w:t xml:space="preserve">revenue </w:t>
      </w:r>
      <w:r w:rsidR="00D319F3">
        <w:rPr>
          <w:rFonts w:ascii="Calibri" w:hAnsi="Calibri" w:cs="Calibri"/>
        </w:rPr>
        <w:t>predicted</w:t>
      </w:r>
      <w:r w:rsidRPr="009C41F6">
        <w:rPr>
          <w:rFonts w:ascii="Calibri" w:hAnsi="Calibri" w:cs="Calibri"/>
        </w:rPr>
        <w:t xml:space="preserve"> to increase from $0.9</w:t>
      </w:r>
      <w:r w:rsidR="001B39A5">
        <w:rPr>
          <w:rFonts w:ascii="Calibri" w:hAnsi="Calibri" w:cs="Calibri"/>
        </w:rPr>
        <w:t xml:space="preserve"> m</w:t>
      </w:r>
      <w:r w:rsidR="0018175C">
        <w:rPr>
          <w:rFonts w:ascii="Calibri" w:hAnsi="Calibri" w:cs="Calibri"/>
        </w:rPr>
        <w:t>illion</w:t>
      </w:r>
      <w:r w:rsidR="00CC476C">
        <w:rPr>
          <w:rFonts w:ascii="Calibri" w:hAnsi="Calibri" w:cs="Calibri"/>
        </w:rPr>
        <w:t xml:space="preserve"> in 2025</w:t>
      </w:r>
      <w:r w:rsidRPr="009C41F6">
        <w:rPr>
          <w:rFonts w:ascii="Calibri" w:hAnsi="Calibri" w:cs="Calibri"/>
        </w:rPr>
        <w:t xml:space="preserve"> to $9</w:t>
      </w:r>
      <w:r w:rsidR="00563E80">
        <w:rPr>
          <w:rFonts w:ascii="Calibri" w:hAnsi="Calibri" w:cs="Calibri"/>
        </w:rPr>
        <w:t xml:space="preserve"> </w:t>
      </w:r>
      <w:r w:rsidR="00655E10" w:rsidRPr="009C41F6">
        <w:rPr>
          <w:rFonts w:ascii="Calibri" w:hAnsi="Calibri" w:cs="Calibri"/>
        </w:rPr>
        <w:t>m</w:t>
      </w:r>
      <w:r w:rsidR="00563E80">
        <w:rPr>
          <w:rFonts w:ascii="Calibri" w:hAnsi="Calibri" w:cs="Calibri"/>
        </w:rPr>
        <w:t>illion</w:t>
      </w:r>
      <w:r w:rsidR="00CC476C">
        <w:rPr>
          <w:rFonts w:ascii="Calibri" w:hAnsi="Calibri" w:cs="Calibri"/>
        </w:rPr>
        <w:t xml:space="preserve"> in 2031 as commercial adoption</w:t>
      </w:r>
      <w:r w:rsidR="005D74B3">
        <w:rPr>
          <w:rFonts w:ascii="Calibri" w:hAnsi="Calibri" w:cs="Calibri"/>
        </w:rPr>
        <w:t xml:space="preserve"> ramps up</w:t>
      </w:r>
      <w:r w:rsidR="009C038B">
        <w:rPr>
          <w:rFonts w:ascii="Calibri" w:hAnsi="Calibri" w:cs="Calibri"/>
        </w:rPr>
        <w:t>.</w:t>
      </w:r>
    </w:p>
    <w:p w14:paraId="6BA701BB" w14:textId="434F3389" w:rsidR="007F28C5" w:rsidRDefault="00906424" w:rsidP="0053579E">
      <w:pPr>
        <w:jc w:val="center"/>
        <w:rPr>
          <w:rFonts w:ascii="Calibri" w:hAnsi="Calibri" w:cs="Calibri"/>
        </w:rPr>
      </w:pPr>
      <w:r>
        <w:rPr>
          <w:noProof/>
        </w:rPr>
        <w:drawing>
          <wp:inline distT="0" distB="0" distL="0" distR="0" wp14:anchorId="5078EC81" wp14:editId="778A0CF1">
            <wp:extent cx="5937885" cy="3415665"/>
            <wp:effectExtent l="0" t="0" r="0" b="0"/>
            <wp:docPr id="1440613507" name="Chart 1">
              <a:extLst xmlns:a="http://schemas.openxmlformats.org/drawingml/2006/main">
                <a:ext uri="{FF2B5EF4-FFF2-40B4-BE49-F238E27FC236}">
                  <a16:creationId xmlns:a16="http://schemas.microsoft.com/office/drawing/2014/main" id="{709C1344-12D9-4654-9B7C-AD2A5D0573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7299ADC" w14:textId="5E607B8D" w:rsidR="00CC476C" w:rsidRPr="0053579E" w:rsidRDefault="002541BF" w:rsidP="0053579E">
      <w:pPr>
        <w:jc w:val="center"/>
        <w:rPr>
          <w:rFonts w:ascii="Calibri" w:hAnsi="Calibri" w:cs="Calibri"/>
          <w:i/>
          <w:iCs/>
        </w:rPr>
      </w:pPr>
      <w:r w:rsidRPr="0053579E">
        <w:rPr>
          <w:rFonts w:ascii="Calibri" w:hAnsi="Calibri" w:cs="Calibri"/>
          <w:i/>
          <w:iCs/>
        </w:rPr>
        <w:t xml:space="preserve">APAC </w:t>
      </w:r>
      <w:r w:rsidR="00842F8E" w:rsidRPr="0053579E">
        <w:rPr>
          <w:rFonts w:ascii="Calibri" w:hAnsi="Calibri" w:cs="Calibri"/>
          <w:i/>
          <w:iCs/>
        </w:rPr>
        <w:t xml:space="preserve">dominates the linear SCT market and </w:t>
      </w:r>
      <w:r w:rsidRPr="0053579E">
        <w:rPr>
          <w:rFonts w:ascii="Calibri" w:hAnsi="Calibri" w:cs="Calibri"/>
          <w:i/>
          <w:iCs/>
        </w:rPr>
        <w:t xml:space="preserve">will </w:t>
      </w:r>
      <w:proofErr w:type="gramStart"/>
      <w:r w:rsidRPr="0053579E">
        <w:rPr>
          <w:rFonts w:ascii="Calibri" w:hAnsi="Calibri" w:cs="Calibri"/>
          <w:i/>
          <w:iCs/>
        </w:rPr>
        <w:t>remain</w:t>
      </w:r>
      <w:proofErr w:type="gramEnd"/>
      <w:r w:rsidRPr="0053579E">
        <w:rPr>
          <w:rFonts w:ascii="Calibri" w:hAnsi="Calibri" w:cs="Calibri"/>
          <w:i/>
          <w:iCs/>
        </w:rPr>
        <w:t xml:space="preserve"> the largest </w:t>
      </w:r>
      <w:r w:rsidR="00842F8E" w:rsidRPr="0053579E">
        <w:rPr>
          <w:rFonts w:ascii="Calibri" w:hAnsi="Calibri" w:cs="Calibri"/>
          <w:i/>
          <w:iCs/>
        </w:rPr>
        <w:t>region</w:t>
      </w:r>
      <w:r w:rsidRPr="0053579E">
        <w:rPr>
          <w:rFonts w:ascii="Calibri" w:hAnsi="Calibri" w:cs="Calibri"/>
          <w:i/>
          <w:iCs/>
        </w:rPr>
        <w:t xml:space="preserve"> </w:t>
      </w:r>
      <w:proofErr w:type="gramStart"/>
      <w:r w:rsidRPr="0053579E">
        <w:rPr>
          <w:rFonts w:ascii="Calibri" w:hAnsi="Calibri" w:cs="Calibri"/>
          <w:i/>
          <w:iCs/>
        </w:rPr>
        <w:t>by</w:t>
      </w:r>
      <w:proofErr w:type="gramEnd"/>
      <w:r w:rsidRPr="0053579E">
        <w:rPr>
          <w:rFonts w:ascii="Calibri" w:hAnsi="Calibri" w:cs="Calibri"/>
          <w:i/>
          <w:iCs/>
        </w:rPr>
        <w:t xml:space="preserve"> revenue</w:t>
      </w:r>
      <w:r w:rsidR="00842F8E" w:rsidRPr="0053579E">
        <w:rPr>
          <w:rFonts w:ascii="Calibri" w:hAnsi="Calibri" w:cs="Calibri"/>
          <w:i/>
          <w:iCs/>
        </w:rPr>
        <w:t xml:space="preserve"> out </w:t>
      </w:r>
      <w:proofErr w:type="gramStart"/>
      <w:r w:rsidR="00842F8E" w:rsidRPr="0053579E">
        <w:rPr>
          <w:rFonts w:ascii="Calibri" w:hAnsi="Calibri" w:cs="Calibri"/>
          <w:i/>
          <w:iCs/>
        </w:rPr>
        <w:t>to</w:t>
      </w:r>
      <w:proofErr w:type="gramEnd"/>
      <w:r w:rsidR="00842F8E" w:rsidRPr="0053579E">
        <w:rPr>
          <w:rFonts w:ascii="Calibri" w:hAnsi="Calibri" w:cs="Calibri"/>
          <w:i/>
          <w:iCs/>
        </w:rPr>
        <w:t xml:space="preserve"> 2031</w:t>
      </w:r>
    </w:p>
    <w:p w14:paraId="329F06FF" w14:textId="2C1C57CE" w:rsidR="00530423" w:rsidRPr="009C41F6" w:rsidRDefault="00530423">
      <w:pPr>
        <w:rPr>
          <w:rFonts w:ascii="Calibri" w:hAnsi="Calibri" w:cs="Calibri"/>
          <w:i/>
          <w:iCs/>
        </w:rPr>
      </w:pPr>
      <w:r w:rsidRPr="009C41F6">
        <w:rPr>
          <w:rFonts w:ascii="Calibri" w:hAnsi="Calibri" w:cs="Calibri"/>
          <w:b/>
          <w:bCs/>
        </w:rPr>
        <w:t xml:space="preserve">Clara Sipes, Market Analyst </w:t>
      </w:r>
      <w:r w:rsidRPr="009C41F6">
        <w:rPr>
          <w:rFonts w:ascii="Calibri" w:eastAsia="Montserrat" w:hAnsi="Calibri" w:cs="Calibri"/>
          <w:b/>
          <w:bCs/>
        </w:rPr>
        <w:t>at Interact Analysis</w:t>
      </w:r>
      <w:r w:rsidRPr="009C41F6">
        <w:rPr>
          <w:rFonts w:ascii="Calibri" w:eastAsia="Montserrat" w:hAnsi="Calibri" w:cs="Calibri"/>
        </w:rPr>
        <w:t xml:space="preserve">, comments: </w:t>
      </w:r>
      <w:r w:rsidRPr="009C41F6">
        <w:rPr>
          <w:rFonts w:ascii="Calibri" w:eastAsia="Montserrat" w:hAnsi="Calibri" w:cs="Calibri"/>
          <w:i/>
          <w:iCs/>
        </w:rPr>
        <w:t xml:space="preserve">“Despite the challenging market conditions in 2025, the long-term outlook for </w:t>
      </w:r>
      <w:r w:rsidR="007F1B69">
        <w:rPr>
          <w:rFonts w:ascii="Calibri" w:eastAsia="Montserrat" w:hAnsi="Calibri" w:cs="Calibri"/>
          <w:i/>
          <w:iCs/>
        </w:rPr>
        <w:t>s</w:t>
      </w:r>
      <w:r w:rsidRPr="009C41F6">
        <w:rPr>
          <w:rFonts w:ascii="Calibri" w:eastAsia="Montserrat" w:hAnsi="Calibri" w:cs="Calibri"/>
          <w:i/>
          <w:iCs/>
        </w:rPr>
        <w:t xml:space="preserve">mart </w:t>
      </w:r>
      <w:r w:rsidR="002C3E13">
        <w:rPr>
          <w:rFonts w:ascii="Calibri" w:eastAsia="Montserrat" w:hAnsi="Calibri" w:cs="Calibri"/>
          <w:i/>
          <w:iCs/>
        </w:rPr>
        <w:t>c</w:t>
      </w:r>
      <w:r w:rsidRPr="009C41F6">
        <w:rPr>
          <w:rFonts w:ascii="Calibri" w:eastAsia="Montserrat" w:hAnsi="Calibri" w:cs="Calibri"/>
          <w:i/>
          <w:iCs/>
        </w:rPr>
        <w:t xml:space="preserve">onveyance </w:t>
      </w:r>
      <w:r w:rsidR="003067AE">
        <w:rPr>
          <w:rFonts w:ascii="Calibri" w:eastAsia="Montserrat" w:hAnsi="Calibri" w:cs="Calibri"/>
          <w:i/>
          <w:iCs/>
        </w:rPr>
        <w:t>t</w:t>
      </w:r>
      <w:r w:rsidRPr="009C41F6">
        <w:rPr>
          <w:rFonts w:ascii="Calibri" w:eastAsia="Montserrat" w:hAnsi="Calibri" w:cs="Calibri"/>
          <w:i/>
          <w:iCs/>
        </w:rPr>
        <w:t>echnology remains resilient. The transition of planar motor systems into commercial production and growing demand for higher-payload linear systems signals a significant opportunity</w:t>
      </w:r>
      <w:r w:rsidR="003C4244">
        <w:rPr>
          <w:rFonts w:ascii="Calibri" w:eastAsia="Montserrat" w:hAnsi="Calibri" w:cs="Calibri"/>
          <w:i/>
          <w:iCs/>
        </w:rPr>
        <w:t>,</w:t>
      </w:r>
      <w:r w:rsidRPr="009C41F6">
        <w:rPr>
          <w:rFonts w:ascii="Calibri" w:eastAsia="Montserrat" w:hAnsi="Calibri" w:cs="Calibri"/>
          <w:i/>
          <w:iCs/>
        </w:rPr>
        <w:t xml:space="preserve"> as investment in battery manufacturing, semiconductors and electronics drives adoption through 2031.”</w:t>
      </w:r>
    </w:p>
    <w:p w14:paraId="47E5F6C4" w14:textId="5E4B8715" w:rsidR="00530423" w:rsidRPr="009C41F6" w:rsidRDefault="00530423" w:rsidP="00530423">
      <w:pPr>
        <w:pStyle w:val="paragraph"/>
        <w:spacing w:before="0" w:beforeAutospacing="0" w:after="0" w:afterAutospacing="0"/>
        <w:textAlignment w:val="baseline"/>
        <w:rPr>
          <w:rStyle w:val="eop"/>
          <w:rFonts w:ascii="Calibri" w:hAnsi="Calibri" w:cs="Calibri"/>
          <w:sz w:val="22"/>
          <w:szCs w:val="22"/>
        </w:rPr>
      </w:pPr>
      <w:r w:rsidRPr="009C41F6">
        <w:rPr>
          <w:rStyle w:val="normaltextrun"/>
          <w:rFonts w:ascii="Calibri" w:hAnsi="Calibri" w:cs="Calibri"/>
          <w:b/>
          <w:bCs/>
          <w:sz w:val="22"/>
          <w:szCs w:val="22"/>
        </w:rPr>
        <w:t>About the report</w:t>
      </w:r>
    </w:p>
    <w:p w14:paraId="18981231" w14:textId="77777777" w:rsidR="00530423" w:rsidRPr="009C41F6" w:rsidRDefault="00530423" w:rsidP="00530423">
      <w:pPr>
        <w:pStyle w:val="paragraph"/>
        <w:spacing w:before="0" w:beforeAutospacing="0" w:after="0" w:afterAutospacing="0"/>
        <w:textAlignment w:val="baseline"/>
        <w:rPr>
          <w:rFonts w:ascii="Calibri" w:hAnsi="Calibri" w:cs="Calibri"/>
          <w:sz w:val="22"/>
          <w:szCs w:val="22"/>
        </w:rPr>
      </w:pPr>
    </w:p>
    <w:p w14:paraId="3131F2A5" w14:textId="77777777" w:rsidR="00530423" w:rsidRPr="009C41F6" w:rsidRDefault="00530423" w:rsidP="00530423">
      <w:pPr>
        <w:rPr>
          <w:rFonts w:ascii="Calibri" w:hAnsi="Calibri" w:cs="Calibri"/>
        </w:rPr>
      </w:pPr>
      <w:r w:rsidRPr="009C41F6">
        <w:rPr>
          <w:rFonts w:ascii="Calibri" w:hAnsi="Calibri" w:cs="Calibri"/>
        </w:rPr>
        <w:t>A topical report investigating innovative smart tracks and carriages, sometimes called independent carts, flexible transport systems or multi-carrier motion systems.</w:t>
      </w:r>
    </w:p>
    <w:p w14:paraId="2D290A73" w14:textId="24F1C045" w:rsidR="00530423" w:rsidRPr="009C41F6" w:rsidRDefault="00530423">
      <w:pPr>
        <w:rPr>
          <w:rFonts w:ascii="Calibri" w:hAnsi="Calibri" w:cs="Calibri"/>
        </w:rPr>
      </w:pPr>
      <w:r w:rsidRPr="009C41F6">
        <w:rPr>
          <w:rFonts w:ascii="Calibri" w:hAnsi="Calibri" w:cs="Calibri"/>
        </w:rPr>
        <w:lastRenderedPageBreak/>
        <w:t>The report is built through extensive primary research and supplier reporting and utilizes data from Interact Analysis’ “Manufacturing Industry Output Tracker (MIO)” – highly regarded for its industry forecasts by country, which inform the forecasts at a country-level.</w:t>
      </w:r>
    </w:p>
    <w:p w14:paraId="1236F8C7" w14:textId="77777777" w:rsidR="00530423" w:rsidRPr="009C41F6" w:rsidRDefault="00530423" w:rsidP="00530423">
      <w:pPr>
        <w:pStyle w:val="paragraph"/>
        <w:spacing w:before="0" w:beforeAutospacing="0" w:after="0" w:afterAutospacing="0"/>
        <w:textAlignment w:val="baseline"/>
        <w:rPr>
          <w:rStyle w:val="eop"/>
          <w:rFonts w:ascii="Calibri" w:hAnsi="Calibri" w:cs="Calibri"/>
          <w:sz w:val="22"/>
          <w:szCs w:val="22"/>
        </w:rPr>
      </w:pPr>
      <w:r w:rsidRPr="009C41F6">
        <w:rPr>
          <w:rStyle w:val="normaltextrun"/>
          <w:rFonts w:ascii="Calibri" w:hAnsi="Calibri" w:cs="Calibri"/>
          <w:b/>
          <w:bCs/>
          <w:sz w:val="22"/>
          <w:szCs w:val="22"/>
        </w:rPr>
        <w:t>About Interact Analysis</w:t>
      </w:r>
      <w:r w:rsidRPr="009C41F6">
        <w:rPr>
          <w:rStyle w:val="eop"/>
          <w:rFonts w:ascii="Calibri" w:hAnsi="Calibri" w:cs="Calibri"/>
          <w:sz w:val="22"/>
          <w:szCs w:val="22"/>
        </w:rPr>
        <w:t> </w:t>
      </w:r>
    </w:p>
    <w:p w14:paraId="61F2AD5A" w14:textId="77777777" w:rsidR="00530423" w:rsidRPr="009C41F6" w:rsidRDefault="00530423" w:rsidP="00530423">
      <w:pPr>
        <w:pStyle w:val="paragraph"/>
        <w:spacing w:before="0" w:beforeAutospacing="0" w:after="0" w:afterAutospacing="0"/>
        <w:textAlignment w:val="baseline"/>
        <w:rPr>
          <w:rFonts w:ascii="Calibri" w:hAnsi="Calibri" w:cs="Calibri"/>
          <w:sz w:val="22"/>
          <w:szCs w:val="22"/>
        </w:rPr>
      </w:pPr>
    </w:p>
    <w:p w14:paraId="200245A8" w14:textId="3599CADA" w:rsidR="00530423" w:rsidRPr="009C41F6" w:rsidRDefault="00530423">
      <w:pPr>
        <w:rPr>
          <w:rFonts w:ascii="Calibri" w:hAnsi="Calibri" w:cs="Calibri"/>
        </w:rPr>
      </w:pPr>
      <w:r w:rsidRPr="009C41F6">
        <w:rPr>
          <w:rFonts w:ascii="Calibri" w:hAnsi="Calibri" w:cs="Calibri"/>
        </w:rPr>
        <w:t>With over 200 years of combined experience, Interact Analysis is the market intelligence authority for global supply chain automation. Our research covers the entire automation value chain – from the technology used to automate factory production, through inventory storage and distribution channels, to the transportation of the finished goods. The world’s leading companies trust us to surface robust insights and opportunities for technology-driven growth. To learn more, visit </w:t>
      </w:r>
      <w:r w:rsidRPr="009C41F6">
        <w:rPr>
          <w:rFonts w:ascii="Calibri" w:eastAsia="Segoe UI" w:hAnsi="Calibri" w:cs="Calibri"/>
        </w:rPr>
        <w:t xml:space="preserve"> </w:t>
      </w:r>
      <w:hyperlink r:id="rId9">
        <w:r w:rsidRPr="009C41F6">
          <w:rPr>
            <w:rStyle w:val="Hyperlink"/>
            <w:rFonts w:ascii="Calibri" w:eastAsia="Segoe UI" w:hAnsi="Calibri" w:cs="Calibri"/>
          </w:rPr>
          <w:t>www.InteractAnalysis.com</w:t>
        </w:r>
      </w:hyperlink>
      <w:r w:rsidRPr="009C41F6">
        <w:rPr>
          <w:rFonts w:ascii="Calibri" w:eastAsia="Segoe UI" w:hAnsi="Calibri" w:cs="Calibri"/>
        </w:rPr>
        <w:t>  </w:t>
      </w:r>
    </w:p>
    <w:sectPr w:rsidR="00530423" w:rsidRPr="009C41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62C31"/>
    <w:multiLevelType w:val="hybridMultilevel"/>
    <w:tmpl w:val="2C4A7936"/>
    <w:lvl w:ilvl="0" w:tplc="7B90E40A">
      <w:start w:val="1"/>
      <w:numFmt w:val="bullet"/>
      <w:lvlText w:val=""/>
      <w:lvlJc w:val="left"/>
      <w:pPr>
        <w:tabs>
          <w:tab w:val="num" w:pos="720"/>
        </w:tabs>
        <w:ind w:left="720" w:hanging="360"/>
      </w:pPr>
      <w:rPr>
        <w:rFonts w:ascii="Wingdings" w:hAnsi="Wingdings" w:hint="default"/>
      </w:rPr>
    </w:lvl>
    <w:lvl w:ilvl="1" w:tplc="0630D338" w:tentative="1">
      <w:start w:val="1"/>
      <w:numFmt w:val="bullet"/>
      <w:lvlText w:val=""/>
      <w:lvlJc w:val="left"/>
      <w:pPr>
        <w:tabs>
          <w:tab w:val="num" w:pos="1440"/>
        </w:tabs>
        <w:ind w:left="1440" w:hanging="360"/>
      </w:pPr>
      <w:rPr>
        <w:rFonts w:ascii="Wingdings" w:hAnsi="Wingdings" w:hint="default"/>
      </w:rPr>
    </w:lvl>
    <w:lvl w:ilvl="2" w:tplc="BDBC5E8C" w:tentative="1">
      <w:start w:val="1"/>
      <w:numFmt w:val="bullet"/>
      <w:lvlText w:val=""/>
      <w:lvlJc w:val="left"/>
      <w:pPr>
        <w:tabs>
          <w:tab w:val="num" w:pos="2160"/>
        </w:tabs>
        <w:ind w:left="2160" w:hanging="360"/>
      </w:pPr>
      <w:rPr>
        <w:rFonts w:ascii="Wingdings" w:hAnsi="Wingdings" w:hint="default"/>
      </w:rPr>
    </w:lvl>
    <w:lvl w:ilvl="3" w:tplc="84D0B0D0" w:tentative="1">
      <w:start w:val="1"/>
      <w:numFmt w:val="bullet"/>
      <w:lvlText w:val=""/>
      <w:lvlJc w:val="left"/>
      <w:pPr>
        <w:tabs>
          <w:tab w:val="num" w:pos="2880"/>
        </w:tabs>
        <w:ind w:left="2880" w:hanging="360"/>
      </w:pPr>
      <w:rPr>
        <w:rFonts w:ascii="Wingdings" w:hAnsi="Wingdings" w:hint="default"/>
      </w:rPr>
    </w:lvl>
    <w:lvl w:ilvl="4" w:tplc="AD66CA36" w:tentative="1">
      <w:start w:val="1"/>
      <w:numFmt w:val="bullet"/>
      <w:lvlText w:val=""/>
      <w:lvlJc w:val="left"/>
      <w:pPr>
        <w:tabs>
          <w:tab w:val="num" w:pos="3600"/>
        </w:tabs>
        <w:ind w:left="3600" w:hanging="360"/>
      </w:pPr>
      <w:rPr>
        <w:rFonts w:ascii="Wingdings" w:hAnsi="Wingdings" w:hint="default"/>
      </w:rPr>
    </w:lvl>
    <w:lvl w:ilvl="5" w:tplc="2F123A58" w:tentative="1">
      <w:start w:val="1"/>
      <w:numFmt w:val="bullet"/>
      <w:lvlText w:val=""/>
      <w:lvlJc w:val="left"/>
      <w:pPr>
        <w:tabs>
          <w:tab w:val="num" w:pos="4320"/>
        </w:tabs>
        <w:ind w:left="4320" w:hanging="360"/>
      </w:pPr>
      <w:rPr>
        <w:rFonts w:ascii="Wingdings" w:hAnsi="Wingdings" w:hint="default"/>
      </w:rPr>
    </w:lvl>
    <w:lvl w:ilvl="6" w:tplc="B1CEB65E" w:tentative="1">
      <w:start w:val="1"/>
      <w:numFmt w:val="bullet"/>
      <w:lvlText w:val=""/>
      <w:lvlJc w:val="left"/>
      <w:pPr>
        <w:tabs>
          <w:tab w:val="num" w:pos="5040"/>
        </w:tabs>
        <w:ind w:left="5040" w:hanging="360"/>
      </w:pPr>
      <w:rPr>
        <w:rFonts w:ascii="Wingdings" w:hAnsi="Wingdings" w:hint="default"/>
      </w:rPr>
    </w:lvl>
    <w:lvl w:ilvl="7" w:tplc="D26E8722" w:tentative="1">
      <w:start w:val="1"/>
      <w:numFmt w:val="bullet"/>
      <w:lvlText w:val=""/>
      <w:lvlJc w:val="left"/>
      <w:pPr>
        <w:tabs>
          <w:tab w:val="num" w:pos="5760"/>
        </w:tabs>
        <w:ind w:left="5760" w:hanging="360"/>
      </w:pPr>
      <w:rPr>
        <w:rFonts w:ascii="Wingdings" w:hAnsi="Wingdings" w:hint="default"/>
      </w:rPr>
    </w:lvl>
    <w:lvl w:ilvl="8" w:tplc="99A6ECB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5F0D97"/>
    <w:multiLevelType w:val="hybridMultilevel"/>
    <w:tmpl w:val="08F05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B13669"/>
    <w:multiLevelType w:val="hybridMultilevel"/>
    <w:tmpl w:val="35D49212"/>
    <w:lvl w:ilvl="0" w:tplc="29C26E96">
      <w:start w:val="1"/>
      <w:numFmt w:val="bullet"/>
      <w:lvlText w:val=""/>
      <w:lvlJc w:val="left"/>
      <w:pPr>
        <w:tabs>
          <w:tab w:val="num" w:pos="720"/>
        </w:tabs>
        <w:ind w:left="720" w:hanging="360"/>
      </w:pPr>
      <w:rPr>
        <w:rFonts w:ascii="Wingdings" w:hAnsi="Wingdings" w:hint="default"/>
      </w:rPr>
    </w:lvl>
    <w:lvl w:ilvl="1" w:tplc="06C27BC2" w:tentative="1">
      <w:start w:val="1"/>
      <w:numFmt w:val="bullet"/>
      <w:lvlText w:val=""/>
      <w:lvlJc w:val="left"/>
      <w:pPr>
        <w:tabs>
          <w:tab w:val="num" w:pos="1440"/>
        </w:tabs>
        <w:ind w:left="1440" w:hanging="360"/>
      </w:pPr>
      <w:rPr>
        <w:rFonts w:ascii="Wingdings" w:hAnsi="Wingdings" w:hint="default"/>
      </w:rPr>
    </w:lvl>
    <w:lvl w:ilvl="2" w:tplc="41FCE1C2" w:tentative="1">
      <w:start w:val="1"/>
      <w:numFmt w:val="bullet"/>
      <w:lvlText w:val=""/>
      <w:lvlJc w:val="left"/>
      <w:pPr>
        <w:tabs>
          <w:tab w:val="num" w:pos="2160"/>
        </w:tabs>
        <w:ind w:left="2160" w:hanging="360"/>
      </w:pPr>
      <w:rPr>
        <w:rFonts w:ascii="Wingdings" w:hAnsi="Wingdings" w:hint="default"/>
      </w:rPr>
    </w:lvl>
    <w:lvl w:ilvl="3" w:tplc="55A654D0" w:tentative="1">
      <w:start w:val="1"/>
      <w:numFmt w:val="bullet"/>
      <w:lvlText w:val=""/>
      <w:lvlJc w:val="left"/>
      <w:pPr>
        <w:tabs>
          <w:tab w:val="num" w:pos="2880"/>
        </w:tabs>
        <w:ind w:left="2880" w:hanging="360"/>
      </w:pPr>
      <w:rPr>
        <w:rFonts w:ascii="Wingdings" w:hAnsi="Wingdings" w:hint="default"/>
      </w:rPr>
    </w:lvl>
    <w:lvl w:ilvl="4" w:tplc="3522BB92" w:tentative="1">
      <w:start w:val="1"/>
      <w:numFmt w:val="bullet"/>
      <w:lvlText w:val=""/>
      <w:lvlJc w:val="left"/>
      <w:pPr>
        <w:tabs>
          <w:tab w:val="num" w:pos="3600"/>
        </w:tabs>
        <w:ind w:left="3600" w:hanging="360"/>
      </w:pPr>
      <w:rPr>
        <w:rFonts w:ascii="Wingdings" w:hAnsi="Wingdings" w:hint="default"/>
      </w:rPr>
    </w:lvl>
    <w:lvl w:ilvl="5" w:tplc="5FFA4E54" w:tentative="1">
      <w:start w:val="1"/>
      <w:numFmt w:val="bullet"/>
      <w:lvlText w:val=""/>
      <w:lvlJc w:val="left"/>
      <w:pPr>
        <w:tabs>
          <w:tab w:val="num" w:pos="4320"/>
        </w:tabs>
        <w:ind w:left="4320" w:hanging="360"/>
      </w:pPr>
      <w:rPr>
        <w:rFonts w:ascii="Wingdings" w:hAnsi="Wingdings" w:hint="default"/>
      </w:rPr>
    </w:lvl>
    <w:lvl w:ilvl="6" w:tplc="6292F260" w:tentative="1">
      <w:start w:val="1"/>
      <w:numFmt w:val="bullet"/>
      <w:lvlText w:val=""/>
      <w:lvlJc w:val="left"/>
      <w:pPr>
        <w:tabs>
          <w:tab w:val="num" w:pos="5040"/>
        </w:tabs>
        <w:ind w:left="5040" w:hanging="360"/>
      </w:pPr>
      <w:rPr>
        <w:rFonts w:ascii="Wingdings" w:hAnsi="Wingdings" w:hint="default"/>
      </w:rPr>
    </w:lvl>
    <w:lvl w:ilvl="7" w:tplc="D16CDB70" w:tentative="1">
      <w:start w:val="1"/>
      <w:numFmt w:val="bullet"/>
      <w:lvlText w:val=""/>
      <w:lvlJc w:val="left"/>
      <w:pPr>
        <w:tabs>
          <w:tab w:val="num" w:pos="5760"/>
        </w:tabs>
        <w:ind w:left="5760" w:hanging="360"/>
      </w:pPr>
      <w:rPr>
        <w:rFonts w:ascii="Wingdings" w:hAnsi="Wingdings" w:hint="default"/>
      </w:rPr>
    </w:lvl>
    <w:lvl w:ilvl="8" w:tplc="FBE4E7B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5B5600"/>
    <w:multiLevelType w:val="hybridMultilevel"/>
    <w:tmpl w:val="091847EE"/>
    <w:lvl w:ilvl="0" w:tplc="008C35BE">
      <w:start w:val="1"/>
      <w:numFmt w:val="bullet"/>
      <w:lvlText w:val=""/>
      <w:lvlJc w:val="left"/>
      <w:pPr>
        <w:tabs>
          <w:tab w:val="num" w:pos="720"/>
        </w:tabs>
        <w:ind w:left="720" w:hanging="360"/>
      </w:pPr>
      <w:rPr>
        <w:rFonts w:ascii="Wingdings" w:hAnsi="Wingdings" w:hint="default"/>
      </w:rPr>
    </w:lvl>
    <w:lvl w:ilvl="1" w:tplc="16BA5B6C" w:tentative="1">
      <w:start w:val="1"/>
      <w:numFmt w:val="bullet"/>
      <w:lvlText w:val=""/>
      <w:lvlJc w:val="left"/>
      <w:pPr>
        <w:tabs>
          <w:tab w:val="num" w:pos="1440"/>
        </w:tabs>
        <w:ind w:left="1440" w:hanging="360"/>
      </w:pPr>
      <w:rPr>
        <w:rFonts w:ascii="Wingdings" w:hAnsi="Wingdings" w:hint="default"/>
      </w:rPr>
    </w:lvl>
    <w:lvl w:ilvl="2" w:tplc="C3E4AD78" w:tentative="1">
      <w:start w:val="1"/>
      <w:numFmt w:val="bullet"/>
      <w:lvlText w:val=""/>
      <w:lvlJc w:val="left"/>
      <w:pPr>
        <w:tabs>
          <w:tab w:val="num" w:pos="2160"/>
        </w:tabs>
        <w:ind w:left="2160" w:hanging="360"/>
      </w:pPr>
      <w:rPr>
        <w:rFonts w:ascii="Wingdings" w:hAnsi="Wingdings" w:hint="default"/>
      </w:rPr>
    </w:lvl>
    <w:lvl w:ilvl="3" w:tplc="59F8138E" w:tentative="1">
      <w:start w:val="1"/>
      <w:numFmt w:val="bullet"/>
      <w:lvlText w:val=""/>
      <w:lvlJc w:val="left"/>
      <w:pPr>
        <w:tabs>
          <w:tab w:val="num" w:pos="2880"/>
        </w:tabs>
        <w:ind w:left="2880" w:hanging="360"/>
      </w:pPr>
      <w:rPr>
        <w:rFonts w:ascii="Wingdings" w:hAnsi="Wingdings" w:hint="default"/>
      </w:rPr>
    </w:lvl>
    <w:lvl w:ilvl="4" w:tplc="867E14F6" w:tentative="1">
      <w:start w:val="1"/>
      <w:numFmt w:val="bullet"/>
      <w:lvlText w:val=""/>
      <w:lvlJc w:val="left"/>
      <w:pPr>
        <w:tabs>
          <w:tab w:val="num" w:pos="3600"/>
        </w:tabs>
        <w:ind w:left="3600" w:hanging="360"/>
      </w:pPr>
      <w:rPr>
        <w:rFonts w:ascii="Wingdings" w:hAnsi="Wingdings" w:hint="default"/>
      </w:rPr>
    </w:lvl>
    <w:lvl w:ilvl="5" w:tplc="96E8E67A" w:tentative="1">
      <w:start w:val="1"/>
      <w:numFmt w:val="bullet"/>
      <w:lvlText w:val=""/>
      <w:lvlJc w:val="left"/>
      <w:pPr>
        <w:tabs>
          <w:tab w:val="num" w:pos="4320"/>
        </w:tabs>
        <w:ind w:left="4320" w:hanging="360"/>
      </w:pPr>
      <w:rPr>
        <w:rFonts w:ascii="Wingdings" w:hAnsi="Wingdings" w:hint="default"/>
      </w:rPr>
    </w:lvl>
    <w:lvl w:ilvl="6" w:tplc="66E276BA" w:tentative="1">
      <w:start w:val="1"/>
      <w:numFmt w:val="bullet"/>
      <w:lvlText w:val=""/>
      <w:lvlJc w:val="left"/>
      <w:pPr>
        <w:tabs>
          <w:tab w:val="num" w:pos="5040"/>
        </w:tabs>
        <w:ind w:left="5040" w:hanging="360"/>
      </w:pPr>
      <w:rPr>
        <w:rFonts w:ascii="Wingdings" w:hAnsi="Wingdings" w:hint="default"/>
      </w:rPr>
    </w:lvl>
    <w:lvl w:ilvl="7" w:tplc="5660181E" w:tentative="1">
      <w:start w:val="1"/>
      <w:numFmt w:val="bullet"/>
      <w:lvlText w:val=""/>
      <w:lvlJc w:val="left"/>
      <w:pPr>
        <w:tabs>
          <w:tab w:val="num" w:pos="5760"/>
        </w:tabs>
        <w:ind w:left="5760" w:hanging="360"/>
      </w:pPr>
      <w:rPr>
        <w:rFonts w:ascii="Wingdings" w:hAnsi="Wingdings" w:hint="default"/>
      </w:rPr>
    </w:lvl>
    <w:lvl w:ilvl="8" w:tplc="9702AFD2" w:tentative="1">
      <w:start w:val="1"/>
      <w:numFmt w:val="bullet"/>
      <w:lvlText w:val=""/>
      <w:lvlJc w:val="left"/>
      <w:pPr>
        <w:tabs>
          <w:tab w:val="num" w:pos="6480"/>
        </w:tabs>
        <w:ind w:left="6480" w:hanging="360"/>
      </w:pPr>
      <w:rPr>
        <w:rFonts w:ascii="Wingdings" w:hAnsi="Wingdings" w:hint="default"/>
      </w:rPr>
    </w:lvl>
  </w:abstractNum>
  <w:num w:numId="1" w16cid:durableId="803279683">
    <w:abstractNumId w:val="1"/>
  </w:num>
  <w:num w:numId="2" w16cid:durableId="1904876427">
    <w:abstractNumId w:val="0"/>
  </w:num>
  <w:num w:numId="3" w16cid:durableId="1066489624">
    <w:abstractNumId w:val="2"/>
  </w:num>
  <w:num w:numId="4" w16cid:durableId="14922566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684"/>
    <w:rsid w:val="000030C0"/>
    <w:rsid w:val="00016D9D"/>
    <w:rsid w:val="000201FE"/>
    <w:rsid w:val="00020D39"/>
    <w:rsid w:val="00030B5D"/>
    <w:rsid w:val="000377DB"/>
    <w:rsid w:val="000407F4"/>
    <w:rsid w:val="00055480"/>
    <w:rsid w:val="00055BB5"/>
    <w:rsid w:val="0006125F"/>
    <w:rsid w:val="00071E18"/>
    <w:rsid w:val="00076B80"/>
    <w:rsid w:val="000878BA"/>
    <w:rsid w:val="000A42DF"/>
    <w:rsid w:val="000B1EC3"/>
    <w:rsid w:val="000B5231"/>
    <w:rsid w:val="000B6E74"/>
    <w:rsid w:val="000C3D03"/>
    <w:rsid w:val="000D1684"/>
    <w:rsid w:val="000E2FBA"/>
    <w:rsid w:val="00115AD8"/>
    <w:rsid w:val="00122FF3"/>
    <w:rsid w:val="00124241"/>
    <w:rsid w:val="00135890"/>
    <w:rsid w:val="001521BE"/>
    <w:rsid w:val="0015425E"/>
    <w:rsid w:val="001576F6"/>
    <w:rsid w:val="0018175C"/>
    <w:rsid w:val="00181FAF"/>
    <w:rsid w:val="001B180E"/>
    <w:rsid w:val="001B21B8"/>
    <w:rsid w:val="001B39A5"/>
    <w:rsid w:val="001B4CC6"/>
    <w:rsid w:val="001C01F4"/>
    <w:rsid w:val="001C52F8"/>
    <w:rsid w:val="001D0A66"/>
    <w:rsid w:val="001D51AC"/>
    <w:rsid w:val="001E21CF"/>
    <w:rsid w:val="001F0E28"/>
    <w:rsid w:val="001F6960"/>
    <w:rsid w:val="00203CF9"/>
    <w:rsid w:val="00206525"/>
    <w:rsid w:val="00221B55"/>
    <w:rsid w:val="002266B4"/>
    <w:rsid w:val="002313AE"/>
    <w:rsid w:val="0024062B"/>
    <w:rsid w:val="002535AE"/>
    <w:rsid w:val="002541BF"/>
    <w:rsid w:val="00263C41"/>
    <w:rsid w:val="002944E0"/>
    <w:rsid w:val="002953C9"/>
    <w:rsid w:val="00297999"/>
    <w:rsid w:val="002A099F"/>
    <w:rsid w:val="002B4B14"/>
    <w:rsid w:val="002C3E13"/>
    <w:rsid w:val="002C4FF4"/>
    <w:rsid w:val="002D0C1C"/>
    <w:rsid w:val="002D258B"/>
    <w:rsid w:val="00301655"/>
    <w:rsid w:val="003067AE"/>
    <w:rsid w:val="00307478"/>
    <w:rsid w:val="00322596"/>
    <w:rsid w:val="00324D2F"/>
    <w:rsid w:val="00326DEB"/>
    <w:rsid w:val="00335985"/>
    <w:rsid w:val="00336438"/>
    <w:rsid w:val="00337254"/>
    <w:rsid w:val="00341187"/>
    <w:rsid w:val="00343B66"/>
    <w:rsid w:val="0035323E"/>
    <w:rsid w:val="00364665"/>
    <w:rsid w:val="00371270"/>
    <w:rsid w:val="003967B3"/>
    <w:rsid w:val="0039785D"/>
    <w:rsid w:val="003A7367"/>
    <w:rsid w:val="003A7962"/>
    <w:rsid w:val="003B2B7B"/>
    <w:rsid w:val="003C1FDC"/>
    <w:rsid w:val="003C4244"/>
    <w:rsid w:val="003C4D25"/>
    <w:rsid w:val="003C5A66"/>
    <w:rsid w:val="003D5688"/>
    <w:rsid w:val="003E4F52"/>
    <w:rsid w:val="003E652B"/>
    <w:rsid w:val="003F0742"/>
    <w:rsid w:val="003F61DD"/>
    <w:rsid w:val="00403874"/>
    <w:rsid w:val="00403DA8"/>
    <w:rsid w:val="0040478A"/>
    <w:rsid w:val="004058F8"/>
    <w:rsid w:val="004267EA"/>
    <w:rsid w:val="00430F5F"/>
    <w:rsid w:val="00435C37"/>
    <w:rsid w:val="00443333"/>
    <w:rsid w:val="00450CCF"/>
    <w:rsid w:val="00465026"/>
    <w:rsid w:val="00465D16"/>
    <w:rsid w:val="00474501"/>
    <w:rsid w:val="00492B99"/>
    <w:rsid w:val="004A23D8"/>
    <w:rsid w:val="004C5BB1"/>
    <w:rsid w:val="004C71C9"/>
    <w:rsid w:val="004D3E56"/>
    <w:rsid w:val="004D5F45"/>
    <w:rsid w:val="004D725D"/>
    <w:rsid w:val="004F158B"/>
    <w:rsid w:val="00504680"/>
    <w:rsid w:val="005101F1"/>
    <w:rsid w:val="0051028D"/>
    <w:rsid w:val="00515033"/>
    <w:rsid w:val="00515932"/>
    <w:rsid w:val="00522A5B"/>
    <w:rsid w:val="00530423"/>
    <w:rsid w:val="0053163C"/>
    <w:rsid w:val="0053579E"/>
    <w:rsid w:val="005464CE"/>
    <w:rsid w:val="005545C8"/>
    <w:rsid w:val="00556C0F"/>
    <w:rsid w:val="00563E80"/>
    <w:rsid w:val="005724F6"/>
    <w:rsid w:val="0057778B"/>
    <w:rsid w:val="00590621"/>
    <w:rsid w:val="00592C6D"/>
    <w:rsid w:val="00597136"/>
    <w:rsid w:val="005A0CA7"/>
    <w:rsid w:val="005A3841"/>
    <w:rsid w:val="005A4A4B"/>
    <w:rsid w:val="005D1201"/>
    <w:rsid w:val="005D74B3"/>
    <w:rsid w:val="005E11C1"/>
    <w:rsid w:val="005F61C5"/>
    <w:rsid w:val="00630D94"/>
    <w:rsid w:val="00634005"/>
    <w:rsid w:val="00637441"/>
    <w:rsid w:val="0064157B"/>
    <w:rsid w:val="00655E10"/>
    <w:rsid w:val="00655FD4"/>
    <w:rsid w:val="006606F7"/>
    <w:rsid w:val="00675984"/>
    <w:rsid w:val="00690E4A"/>
    <w:rsid w:val="00695A64"/>
    <w:rsid w:val="006970A1"/>
    <w:rsid w:val="00697A09"/>
    <w:rsid w:val="00697BD3"/>
    <w:rsid w:val="006B3BB7"/>
    <w:rsid w:val="006C2C17"/>
    <w:rsid w:val="006C42D0"/>
    <w:rsid w:val="006C7853"/>
    <w:rsid w:val="006D243D"/>
    <w:rsid w:val="006D4C9F"/>
    <w:rsid w:val="006E4282"/>
    <w:rsid w:val="006F09F3"/>
    <w:rsid w:val="006F49A1"/>
    <w:rsid w:val="00715B4B"/>
    <w:rsid w:val="007232FC"/>
    <w:rsid w:val="00764030"/>
    <w:rsid w:val="0077195A"/>
    <w:rsid w:val="00792095"/>
    <w:rsid w:val="007A0809"/>
    <w:rsid w:val="007A38D5"/>
    <w:rsid w:val="007A51E5"/>
    <w:rsid w:val="007B6A52"/>
    <w:rsid w:val="007C03CA"/>
    <w:rsid w:val="007C62A3"/>
    <w:rsid w:val="007E725B"/>
    <w:rsid w:val="007F1B69"/>
    <w:rsid w:val="007F28C5"/>
    <w:rsid w:val="00803664"/>
    <w:rsid w:val="00815E1D"/>
    <w:rsid w:val="00816AD8"/>
    <w:rsid w:val="0083737D"/>
    <w:rsid w:val="00842F8E"/>
    <w:rsid w:val="00844C12"/>
    <w:rsid w:val="0087052E"/>
    <w:rsid w:val="00870E83"/>
    <w:rsid w:val="00872D55"/>
    <w:rsid w:val="008A28F6"/>
    <w:rsid w:val="008B0143"/>
    <w:rsid w:val="008B0244"/>
    <w:rsid w:val="008B4297"/>
    <w:rsid w:val="008B51E7"/>
    <w:rsid w:val="008C6C2D"/>
    <w:rsid w:val="008D0276"/>
    <w:rsid w:val="008F1009"/>
    <w:rsid w:val="00901D60"/>
    <w:rsid w:val="00906424"/>
    <w:rsid w:val="00914A7F"/>
    <w:rsid w:val="009169E8"/>
    <w:rsid w:val="00944B9C"/>
    <w:rsid w:val="0094572C"/>
    <w:rsid w:val="00964F91"/>
    <w:rsid w:val="0098202A"/>
    <w:rsid w:val="009835C2"/>
    <w:rsid w:val="009B05ED"/>
    <w:rsid w:val="009C038B"/>
    <w:rsid w:val="009C41F6"/>
    <w:rsid w:val="009E157E"/>
    <w:rsid w:val="00A05FEC"/>
    <w:rsid w:val="00A31D10"/>
    <w:rsid w:val="00A32708"/>
    <w:rsid w:val="00A35A52"/>
    <w:rsid w:val="00A361FA"/>
    <w:rsid w:val="00A366D1"/>
    <w:rsid w:val="00A8174A"/>
    <w:rsid w:val="00AA16D6"/>
    <w:rsid w:val="00AA5666"/>
    <w:rsid w:val="00AB5055"/>
    <w:rsid w:val="00AC0221"/>
    <w:rsid w:val="00AC7271"/>
    <w:rsid w:val="00AD5096"/>
    <w:rsid w:val="00B015B6"/>
    <w:rsid w:val="00B07230"/>
    <w:rsid w:val="00B21D30"/>
    <w:rsid w:val="00B23F19"/>
    <w:rsid w:val="00B300AF"/>
    <w:rsid w:val="00B42DB4"/>
    <w:rsid w:val="00B47007"/>
    <w:rsid w:val="00B57306"/>
    <w:rsid w:val="00B60A13"/>
    <w:rsid w:val="00B65182"/>
    <w:rsid w:val="00B65D73"/>
    <w:rsid w:val="00B66B50"/>
    <w:rsid w:val="00B7121B"/>
    <w:rsid w:val="00B83BB9"/>
    <w:rsid w:val="00B83D25"/>
    <w:rsid w:val="00BA30CC"/>
    <w:rsid w:val="00BC6F6B"/>
    <w:rsid w:val="00BD380B"/>
    <w:rsid w:val="00BE2E8A"/>
    <w:rsid w:val="00BF68F5"/>
    <w:rsid w:val="00C03942"/>
    <w:rsid w:val="00C03ED0"/>
    <w:rsid w:val="00C34CC4"/>
    <w:rsid w:val="00C36D1C"/>
    <w:rsid w:val="00C37FEE"/>
    <w:rsid w:val="00C63778"/>
    <w:rsid w:val="00C77484"/>
    <w:rsid w:val="00C92091"/>
    <w:rsid w:val="00CA244D"/>
    <w:rsid w:val="00CA6299"/>
    <w:rsid w:val="00CB1693"/>
    <w:rsid w:val="00CB6522"/>
    <w:rsid w:val="00CC476C"/>
    <w:rsid w:val="00D06DD5"/>
    <w:rsid w:val="00D232C5"/>
    <w:rsid w:val="00D232E2"/>
    <w:rsid w:val="00D319F3"/>
    <w:rsid w:val="00D46206"/>
    <w:rsid w:val="00D515AB"/>
    <w:rsid w:val="00D52EE2"/>
    <w:rsid w:val="00D54BA9"/>
    <w:rsid w:val="00D705C5"/>
    <w:rsid w:val="00D94309"/>
    <w:rsid w:val="00D9714F"/>
    <w:rsid w:val="00DD7BA0"/>
    <w:rsid w:val="00DE5FB0"/>
    <w:rsid w:val="00E10500"/>
    <w:rsid w:val="00E17250"/>
    <w:rsid w:val="00E230AB"/>
    <w:rsid w:val="00E32C96"/>
    <w:rsid w:val="00E422A4"/>
    <w:rsid w:val="00E42A3E"/>
    <w:rsid w:val="00E6322B"/>
    <w:rsid w:val="00E92B06"/>
    <w:rsid w:val="00E92C32"/>
    <w:rsid w:val="00E94272"/>
    <w:rsid w:val="00E945DD"/>
    <w:rsid w:val="00EA1D33"/>
    <w:rsid w:val="00EA6A52"/>
    <w:rsid w:val="00EB6013"/>
    <w:rsid w:val="00EB75F5"/>
    <w:rsid w:val="00ED073E"/>
    <w:rsid w:val="00ED6840"/>
    <w:rsid w:val="00EE0902"/>
    <w:rsid w:val="00EE53FB"/>
    <w:rsid w:val="00EE78F7"/>
    <w:rsid w:val="00F02365"/>
    <w:rsid w:val="00F06C52"/>
    <w:rsid w:val="00F12E83"/>
    <w:rsid w:val="00F1785F"/>
    <w:rsid w:val="00F2795E"/>
    <w:rsid w:val="00F30FC9"/>
    <w:rsid w:val="00F30FDC"/>
    <w:rsid w:val="00F46080"/>
    <w:rsid w:val="00F636BA"/>
    <w:rsid w:val="00F664EF"/>
    <w:rsid w:val="00FC206F"/>
    <w:rsid w:val="00FC4304"/>
    <w:rsid w:val="00FC7478"/>
    <w:rsid w:val="00FD13C4"/>
    <w:rsid w:val="00FD303E"/>
    <w:rsid w:val="00FD35E1"/>
    <w:rsid w:val="00FD46D9"/>
    <w:rsid w:val="00FF437B"/>
    <w:rsid w:val="00FF7F58"/>
    <w:rsid w:val="06D390E9"/>
    <w:rsid w:val="17345A26"/>
    <w:rsid w:val="2A5D6643"/>
    <w:rsid w:val="73068B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085C5"/>
  <w15:chartTrackingRefBased/>
  <w15:docId w15:val="{4480BB1E-9B44-4D88-BEAF-04F74FC7C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6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16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16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16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6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6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6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6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6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6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16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16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16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6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6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6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6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684"/>
    <w:rPr>
      <w:rFonts w:eastAsiaTheme="majorEastAsia" w:cstheme="majorBidi"/>
      <w:color w:val="272727" w:themeColor="text1" w:themeTint="D8"/>
    </w:rPr>
  </w:style>
  <w:style w:type="paragraph" w:styleId="Title">
    <w:name w:val="Title"/>
    <w:basedOn w:val="Normal"/>
    <w:next w:val="Normal"/>
    <w:link w:val="TitleChar"/>
    <w:uiPriority w:val="10"/>
    <w:qFormat/>
    <w:rsid w:val="000D16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6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6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6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684"/>
    <w:pPr>
      <w:spacing w:before="160"/>
      <w:jc w:val="center"/>
    </w:pPr>
    <w:rPr>
      <w:i/>
      <w:iCs/>
      <w:color w:val="404040" w:themeColor="text1" w:themeTint="BF"/>
    </w:rPr>
  </w:style>
  <w:style w:type="character" w:customStyle="1" w:styleId="QuoteChar">
    <w:name w:val="Quote Char"/>
    <w:basedOn w:val="DefaultParagraphFont"/>
    <w:link w:val="Quote"/>
    <w:uiPriority w:val="29"/>
    <w:rsid w:val="000D1684"/>
    <w:rPr>
      <w:i/>
      <w:iCs/>
      <w:color w:val="404040" w:themeColor="text1" w:themeTint="BF"/>
    </w:rPr>
  </w:style>
  <w:style w:type="paragraph" w:styleId="ListParagraph">
    <w:name w:val="List Paragraph"/>
    <w:basedOn w:val="Normal"/>
    <w:uiPriority w:val="34"/>
    <w:qFormat/>
    <w:rsid w:val="000D1684"/>
    <w:pPr>
      <w:ind w:left="720"/>
      <w:contextualSpacing/>
    </w:pPr>
  </w:style>
  <w:style w:type="character" w:styleId="IntenseEmphasis">
    <w:name w:val="Intense Emphasis"/>
    <w:basedOn w:val="DefaultParagraphFont"/>
    <w:uiPriority w:val="21"/>
    <w:qFormat/>
    <w:rsid w:val="000D1684"/>
    <w:rPr>
      <w:i/>
      <w:iCs/>
      <w:color w:val="0F4761" w:themeColor="accent1" w:themeShade="BF"/>
    </w:rPr>
  </w:style>
  <w:style w:type="paragraph" w:styleId="IntenseQuote">
    <w:name w:val="Intense Quote"/>
    <w:basedOn w:val="Normal"/>
    <w:next w:val="Normal"/>
    <w:link w:val="IntenseQuoteChar"/>
    <w:uiPriority w:val="30"/>
    <w:qFormat/>
    <w:rsid w:val="000D16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684"/>
    <w:rPr>
      <w:i/>
      <w:iCs/>
      <w:color w:val="0F4761" w:themeColor="accent1" w:themeShade="BF"/>
    </w:rPr>
  </w:style>
  <w:style w:type="character" w:styleId="IntenseReference">
    <w:name w:val="Intense Reference"/>
    <w:basedOn w:val="DefaultParagraphFont"/>
    <w:uiPriority w:val="32"/>
    <w:qFormat/>
    <w:rsid w:val="000D1684"/>
    <w:rPr>
      <w:b/>
      <w:bCs/>
      <w:smallCaps/>
      <w:color w:val="0F4761" w:themeColor="accent1" w:themeShade="BF"/>
      <w:spacing w:val="5"/>
    </w:rPr>
  </w:style>
  <w:style w:type="character" w:styleId="Hyperlink">
    <w:name w:val="Hyperlink"/>
    <w:basedOn w:val="DefaultParagraphFont"/>
    <w:uiPriority w:val="99"/>
    <w:unhideWhenUsed/>
    <w:rsid w:val="00530423"/>
    <w:rPr>
      <w:color w:val="467886" w:themeColor="hyperlink"/>
      <w:u w:val="single"/>
    </w:rPr>
  </w:style>
  <w:style w:type="paragraph" w:customStyle="1" w:styleId="paragraph">
    <w:name w:val="paragraph"/>
    <w:basedOn w:val="Normal"/>
    <w:rsid w:val="00530423"/>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normaltextrun">
    <w:name w:val="normaltextrun"/>
    <w:basedOn w:val="DefaultParagraphFont"/>
    <w:rsid w:val="00530423"/>
  </w:style>
  <w:style w:type="character" w:customStyle="1" w:styleId="eop">
    <w:name w:val="eop"/>
    <w:basedOn w:val="DefaultParagraphFont"/>
    <w:rsid w:val="00530423"/>
  </w:style>
  <w:style w:type="paragraph" w:styleId="Revision">
    <w:name w:val="Revision"/>
    <w:hidden/>
    <w:uiPriority w:val="99"/>
    <w:semiHidden/>
    <w:rsid w:val="009C41F6"/>
    <w:pPr>
      <w:spacing w:after="0" w:line="240" w:lineRule="auto"/>
    </w:pPr>
  </w:style>
  <w:style w:type="character" w:styleId="CommentReference">
    <w:name w:val="annotation reference"/>
    <w:basedOn w:val="DefaultParagraphFont"/>
    <w:uiPriority w:val="99"/>
    <w:semiHidden/>
    <w:unhideWhenUsed/>
    <w:rsid w:val="00504680"/>
    <w:rPr>
      <w:sz w:val="16"/>
      <w:szCs w:val="16"/>
    </w:rPr>
  </w:style>
  <w:style w:type="paragraph" w:styleId="CommentText">
    <w:name w:val="annotation text"/>
    <w:basedOn w:val="Normal"/>
    <w:link w:val="CommentTextChar"/>
    <w:uiPriority w:val="99"/>
    <w:unhideWhenUsed/>
    <w:rsid w:val="00504680"/>
    <w:pPr>
      <w:spacing w:line="240" w:lineRule="auto"/>
    </w:pPr>
    <w:rPr>
      <w:sz w:val="20"/>
      <w:szCs w:val="20"/>
    </w:rPr>
  </w:style>
  <w:style w:type="character" w:customStyle="1" w:styleId="CommentTextChar">
    <w:name w:val="Comment Text Char"/>
    <w:basedOn w:val="DefaultParagraphFont"/>
    <w:link w:val="CommentText"/>
    <w:uiPriority w:val="99"/>
    <w:rsid w:val="00504680"/>
    <w:rPr>
      <w:sz w:val="20"/>
      <w:szCs w:val="20"/>
    </w:rPr>
  </w:style>
  <w:style w:type="paragraph" w:styleId="CommentSubject">
    <w:name w:val="annotation subject"/>
    <w:basedOn w:val="CommentText"/>
    <w:next w:val="CommentText"/>
    <w:link w:val="CommentSubjectChar"/>
    <w:uiPriority w:val="99"/>
    <w:semiHidden/>
    <w:unhideWhenUsed/>
    <w:rsid w:val="00504680"/>
    <w:rPr>
      <w:b/>
      <w:bCs/>
    </w:rPr>
  </w:style>
  <w:style w:type="character" w:customStyle="1" w:styleId="CommentSubjectChar">
    <w:name w:val="Comment Subject Char"/>
    <w:basedOn w:val="CommentTextChar"/>
    <w:link w:val="CommentSubject"/>
    <w:uiPriority w:val="99"/>
    <w:semiHidden/>
    <w:rsid w:val="005046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nteractanalysis.co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620772716432148"/>
          <c:y val="0.15985715017526914"/>
          <c:w val="0.75448628666825668"/>
          <c:h val="0.65874786859572476"/>
        </c:manualLayout>
      </c:layout>
      <c:barChart>
        <c:barDir val="col"/>
        <c:grouping val="stacked"/>
        <c:varyColors val="0"/>
        <c:ser>
          <c:idx val="1"/>
          <c:order val="0"/>
          <c:tx>
            <c:strRef>
              <c:f>Triregion!$K$4</c:f>
              <c:strCache>
                <c:ptCount val="1"/>
                <c:pt idx="0">
                  <c:v>Americas</c:v>
                </c:pt>
              </c:strCache>
            </c:strRef>
          </c:tx>
          <c:spPr>
            <a:solidFill>
              <a:schemeClr val="accent2"/>
            </a:solidFill>
            <a:ln>
              <a:noFill/>
            </a:ln>
            <a:effectLst/>
          </c:spPr>
          <c:invertIfNegative val="0"/>
          <c:cat>
            <c:numRef>
              <c:f>Triregion!$J$5:$J$11</c:f>
              <c:numCache>
                <c:formatCode>General</c:formatCode>
                <c:ptCount val="7"/>
                <c:pt idx="0">
                  <c:v>2025</c:v>
                </c:pt>
                <c:pt idx="1">
                  <c:v>2026</c:v>
                </c:pt>
                <c:pt idx="2">
                  <c:v>2027</c:v>
                </c:pt>
                <c:pt idx="3">
                  <c:v>2028</c:v>
                </c:pt>
                <c:pt idx="4">
                  <c:v>2029</c:v>
                </c:pt>
                <c:pt idx="5">
                  <c:v>2030</c:v>
                </c:pt>
                <c:pt idx="6">
                  <c:v>2031</c:v>
                </c:pt>
              </c:numCache>
            </c:numRef>
          </c:cat>
          <c:val>
            <c:numRef>
              <c:f>Triregion!$K$5:$K$11</c:f>
              <c:numCache>
                <c:formatCode>#,##0.00</c:formatCode>
                <c:ptCount val="7"/>
                <c:pt idx="0">
                  <c:v>74.462453053472899</c:v>
                </c:pt>
                <c:pt idx="1">
                  <c:v>86.411023196748573</c:v>
                </c:pt>
                <c:pt idx="2">
                  <c:v>98.526184488679462</c:v>
                </c:pt>
                <c:pt idx="3">
                  <c:v>115.99872258802345</c:v>
                </c:pt>
                <c:pt idx="4">
                  <c:v>135.19182580720178</c:v>
                </c:pt>
                <c:pt idx="5">
                  <c:v>153.26626671294096</c:v>
                </c:pt>
                <c:pt idx="6">
                  <c:v>171.87658003730522</c:v>
                </c:pt>
              </c:numCache>
            </c:numRef>
          </c:val>
          <c:extLst>
            <c:ext xmlns:c16="http://schemas.microsoft.com/office/drawing/2014/chart" uri="{C3380CC4-5D6E-409C-BE32-E72D297353CC}">
              <c16:uniqueId val="{00000000-EBCA-4D32-A7D1-498AC6713952}"/>
            </c:ext>
          </c:extLst>
        </c:ser>
        <c:ser>
          <c:idx val="2"/>
          <c:order val="1"/>
          <c:tx>
            <c:strRef>
              <c:f>Triregion!$L$4</c:f>
              <c:strCache>
                <c:ptCount val="1"/>
                <c:pt idx="0">
                  <c:v>EMEA</c:v>
                </c:pt>
              </c:strCache>
            </c:strRef>
          </c:tx>
          <c:spPr>
            <a:solidFill>
              <a:schemeClr val="accent3"/>
            </a:solidFill>
            <a:ln>
              <a:noFill/>
            </a:ln>
            <a:effectLst/>
          </c:spPr>
          <c:invertIfNegative val="0"/>
          <c:cat>
            <c:numRef>
              <c:f>Triregion!$J$5:$J$11</c:f>
              <c:numCache>
                <c:formatCode>General</c:formatCode>
                <c:ptCount val="7"/>
                <c:pt idx="0">
                  <c:v>2025</c:v>
                </c:pt>
                <c:pt idx="1">
                  <c:v>2026</c:v>
                </c:pt>
                <c:pt idx="2">
                  <c:v>2027</c:v>
                </c:pt>
                <c:pt idx="3">
                  <c:v>2028</c:v>
                </c:pt>
                <c:pt idx="4">
                  <c:v>2029</c:v>
                </c:pt>
                <c:pt idx="5">
                  <c:v>2030</c:v>
                </c:pt>
                <c:pt idx="6">
                  <c:v>2031</c:v>
                </c:pt>
              </c:numCache>
            </c:numRef>
          </c:cat>
          <c:val>
            <c:numRef>
              <c:f>Triregion!$L$5:$L$11</c:f>
              <c:numCache>
                <c:formatCode>#,##0.00</c:formatCode>
                <c:ptCount val="7"/>
                <c:pt idx="0">
                  <c:v>168.72636437015115</c:v>
                </c:pt>
                <c:pt idx="1">
                  <c:v>192.4260876215273</c:v>
                </c:pt>
                <c:pt idx="2">
                  <c:v>219.72141115400342</c:v>
                </c:pt>
                <c:pt idx="3">
                  <c:v>256.99399066684617</c:v>
                </c:pt>
                <c:pt idx="4">
                  <c:v>300.11969954322586</c:v>
                </c:pt>
                <c:pt idx="5">
                  <c:v>350.0028046875056</c:v>
                </c:pt>
                <c:pt idx="6">
                  <c:v>410.38510810898674</c:v>
                </c:pt>
              </c:numCache>
            </c:numRef>
          </c:val>
          <c:extLst>
            <c:ext xmlns:c16="http://schemas.microsoft.com/office/drawing/2014/chart" uri="{C3380CC4-5D6E-409C-BE32-E72D297353CC}">
              <c16:uniqueId val="{00000001-EBCA-4D32-A7D1-498AC6713952}"/>
            </c:ext>
          </c:extLst>
        </c:ser>
        <c:ser>
          <c:idx val="0"/>
          <c:order val="2"/>
          <c:tx>
            <c:strRef>
              <c:f>Triregion!$M$4</c:f>
              <c:strCache>
                <c:ptCount val="1"/>
                <c:pt idx="0">
                  <c:v>APAC</c:v>
                </c:pt>
              </c:strCache>
            </c:strRef>
          </c:tx>
          <c:spPr>
            <a:solidFill>
              <a:schemeClr val="accent1"/>
            </a:solidFill>
            <a:ln>
              <a:noFill/>
            </a:ln>
            <a:effectLst/>
          </c:spPr>
          <c:invertIfNegative val="0"/>
          <c:cat>
            <c:numRef>
              <c:f>Triregion!$J$5:$J$11</c:f>
              <c:numCache>
                <c:formatCode>General</c:formatCode>
                <c:ptCount val="7"/>
                <c:pt idx="0">
                  <c:v>2025</c:v>
                </c:pt>
                <c:pt idx="1">
                  <c:v>2026</c:v>
                </c:pt>
                <c:pt idx="2">
                  <c:v>2027</c:v>
                </c:pt>
                <c:pt idx="3">
                  <c:v>2028</c:v>
                </c:pt>
                <c:pt idx="4">
                  <c:v>2029</c:v>
                </c:pt>
                <c:pt idx="5">
                  <c:v>2030</c:v>
                </c:pt>
                <c:pt idx="6">
                  <c:v>2031</c:v>
                </c:pt>
              </c:numCache>
            </c:numRef>
          </c:cat>
          <c:val>
            <c:numRef>
              <c:f>Triregion!$M$5:$M$11</c:f>
              <c:numCache>
                <c:formatCode>#,##0.00</c:formatCode>
                <c:ptCount val="7"/>
                <c:pt idx="0">
                  <c:v>234.27035191981548</c:v>
                </c:pt>
                <c:pt idx="1">
                  <c:v>291.78343569530119</c:v>
                </c:pt>
                <c:pt idx="2">
                  <c:v>343.32415741179364</c:v>
                </c:pt>
                <c:pt idx="3">
                  <c:v>411.23480341318725</c:v>
                </c:pt>
                <c:pt idx="4">
                  <c:v>475.01238181807344</c:v>
                </c:pt>
                <c:pt idx="5">
                  <c:v>535.10631533709068</c:v>
                </c:pt>
                <c:pt idx="6">
                  <c:v>596.36981145959771</c:v>
                </c:pt>
              </c:numCache>
            </c:numRef>
          </c:val>
          <c:extLst>
            <c:ext xmlns:c16="http://schemas.microsoft.com/office/drawing/2014/chart" uri="{C3380CC4-5D6E-409C-BE32-E72D297353CC}">
              <c16:uniqueId val="{00000002-EBCA-4D32-A7D1-498AC6713952}"/>
            </c:ext>
          </c:extLst>
        </c:ser>
        <c:dLbls>
          <c:showLegendKey val="0"/>
          <c:showVal val="0"/>
          <c:showCatName val="0"/>
          <c:showSerName val="0"/>
          <c:showPercent val="0"/>
          <c:showBubbleSize val="0"/>
        </c:dLbls>
        <c:gapWidth val="150"/>
        <c:overlap val="100"/>
        <c:axId val="286858624"/>
        <c:axId val="286868608"/>
      </c:barChart>
      <c:catAx>
        <c:axId val="286858624"/>
        <c:scaling>
          <c:orientation val="minMax"/>
        </c:scaling>
        <c:delete val="0"/>
        <c:axPos val="b"/>
        <c:numFmt formatCode="General" sourceLinked="0"/>
        <c:majorTickMark val="none"/>
        <c:minorTickMark val="none"/>
        <c:tickLblPos val="nextTo"/>
        <c:spPr>
          <a:noFill/>
          <a:ln w="3175" cap="flat" cmpd="sng" algn="ctr">
            <a:solidFill>
              <a:schemeClr val="accent2">
                <a:lumMod val="20000"/>
                <a:lumOff val="80000"/>
              </a:schemeClr>
            </a:solidFill>
            <a:prstDash val="solid"/>
            <a:round/>
          </a:ln>
          <a:effectLst/>
        </c:spPr>
        <c:txPr>
          <a:bodyPr rot="0" spcFirstLastPara="1" vertOverflow="ellipsis" wrap="square" anchor="ctr" anchorCtr="1"/>
          <a:lstStyle/>
          <a:p>
            <a:pPr>
              <a:defRPr sz="900" b="0" i="0" u="none" strike="noStrike" kern="1200" baseline="0">
                <a:solidFill>
                  <a:schemeClr val="tx1"/>
                </a:solidFill>
                <a:latin typeface="+mn-lt"/>
                <a:ea typeface="+mn-ea"/>
                <a:cs typeface="Arial" pitchFamily="34" charset="0"/>
              </a:defRPr>
            </a:pPr>
            <a:endParaRPr lang="en-US"/>
          </a:p>
        </c:txPr>
        <c:crossAx val="286868608"/>
        <c:crosses val="autoZero"/>
        <c:auto val="1"/>
        <c:lblAlgn val="ctr"/>
        <c:lblOffset val="100"/>
        <c:noMultiLvlLbl val="0"/>
      </c:catAx>
      <c:valAx>
        <c:axId val="286868608"/>
        <c:scaling>
          <c:orientation val="minMax"/>
        </c:scaling>
        <c:delete val="0"/>
        <c:axPos val="l"/>
        <c:majorGridlines>
          <c:spPr>
            <a:ln w="3175" cap="flat" cmpd="sng" algn="ctr">
              <a:solidFill>
                <a:schemeClr val="accent2">
                  <a:lumMod val="20000"/>
                  <a:lumOff val="80000"/>
                </a:schemeClr>
              </a:solidFill>
              <a:prstDash val="solid"/>
              <a:round/>
            </a:ln>
            <a:effectLst/>
          </c:spPr>
        </c:majorGridlines>
        <c:numFmt formatCode="General" sourceLinked="0"/>
        <c:majorTickMark val="none"/>
        <c:minorTickMark val="none"/>
        <c:tickLblPos val="nextTo"/>
        <c:spPr>
          <a:noFill/>
          <a:ln w="3175" cap="flat" cmpd="sng" algn="ctr">
            <a:no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Arial" pitchFamily="34" charset="0"/>
              </a:defRPr>
            </a:pPr>
            <a:endParaRPr lang="en-US"/>
          </a:p>
        </c:txPr>
        <c:crossAx val="286858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Arial" pitchFamily="34" charset="0"/>
            </a:defRPr>
          </a:pPr>
          <a:endParaRPr lang="en-US"/>
        </a:p>
      </c:txPr>
    </c:legend>
    <c:plotVisOnly val="1"/>
    <c:dispBlanksAs val="gap"/>
    <c:showDLblsOverMax val="0"/>
  </c:chart>
  <c:spPr>
    <a:noFill/>
    <a:ln w="9525" cap="flat" cmpd="sng" algn="ctr">
      <a:noFill/>
      <a:prstDash val="solid"/>
      <a:round/>
    </a:ln>
    <a:effectLst/>
  </c:spPr>
  <c:txPr>
    <a:bodyPr/>
    <a:lstStyle/>
    <a:p>
      <a:pPr>
        <a:defRPr sz="900">
          <a:latin typeface="+mn-lt"/>
          <a:cs typeface="Arial" pitchFamily="34" charset="0"/>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drawings/drawing1.xml><?xml version="1.0" encoding="utf-8"?>
<c:userShapes xmlns:c="http://schemas.openxmlformats.org/drawingml/2006/chart">
  <cdr:relSizeAnchor xmlns:cdr="http://schemas.openxmlformats.org/drawingml/2006/chartDrawing">
    <cdr:from>
      <cdr:x>0</cdr:x>
      <cdr:y>0.02788</cdr:y>
    </cdr:from>
    <cdr:to>
      <cdr:x>1</cdr:x>
      <cdr:y>0.10156</cdr:y>
    </cdr:to>
    <cdr:sp macro="" textlink="">
      <cdr:nvSpPr>
        <cdr:cNvPr id="2" name="txtboxChartTitle"/>
        <cdr:cNvSpPr txBox="1"/>
      </cdr:nvSpPr>
      <cdr:spPr>
        <a:xfrm xmlns:a="http://schemas.openxmlformats.org/drawingml/2006/main">
          <a:off x="0" y="95250"/>
          <a:ext cx="4193000" cy="251704"/>
        </a:xfrm>
        <a:prstGeom xmlns:a="http://schemas.openxmlformats.org/drawingml/2006/main" prst="rect">
          <a:avLst/>
        </a:prstGeom>
        <a:noFill xmlns:a="http://schemas.openxmlformats.org/drawingml/2006/main"/>
        <a:ln xmlns:a="http://schemas.openxmlformats.org/drawingml/2006/main" w="9525" cmpd="sng">
          <a:noFill/>
          <a:prstDash val="solid"/>
          <a:headEnd type="none" w="med" len="med"/>
          <a:tailEnd type="triangle" w="med" len="med"/>
        </a:ln>
      </cdr:spPr>
      <cdr:txBody>
        <a:bodyPr xmlns:a="http://schemas.openxmlformats.org/drawingml/2006/main" wrap="square" lIns="76200" tIns="0" rIns="76200" bIns="0" rtlCol="0" anchor="ctr" anchorCtr="0"/>
        <a:lstStyle xmlns:a="http://schemas.openxmlformats.org/drawingml/2006/main"/>
        <a:p xmlns:a="http://schemas.openxmlformats.org/drawingml/2006/main">
          <a:pPr algn="ctr"/>
          <a:fld id="{5346657E-3331-4EE8-B01B-9E4017DE6B1E}" type="TxLink">
            <a:rPr lang="en-US" sz="1200" b="0" i="0" u="none" strike="noStrike">
              <a:solidFill>
                <a:schemeClr val="accent1"/>
              </a:solidFill>
              <a:latin typeface="+mj-lt"/>
              <a:cs typeface="Arial" pitchFamily="34" charset="0"/>
            </a:rPr>
            <a:pPr algn="ctr"/>
            <a:t>Smart Conveyance Revenue by Region
(2025 - 2031)</a:t>
          </a:fld>
          <a:endParaRPr lang="en-US" sz="1200" b="0" i="0" u="none" strike="noStrike">
            <a:solidFill>
              <a:schemeClr val="accent1"/>
            </a:solidFill>
            <a:latin typeface="+mj-lt"/>
            <a:cs typeface="Arial" pitchFamily="34" charset="0"/>
          </a:endParaRPr>
        </a:p>
      </cdr:txBody>
    </cdr:sp>
  </cdr:relSizeAnchor>
  <cdr:relSizeAnchor xmlns:cdr="http://schemas.openxmlformats.org/drawingml/2006/chartDrawing">
    <cdr:from>
      <cdr:x>0.0039</cdr:x>
      <cdr:y>0.21571</cdr:y>
    </cdr:from>
    <cdr:to>
      <cdr:x>0.07639</cdr:x>
      <cdr:y>0.77976</cdr:y>
    </cdr:to>
    <cdr:sp macro="" textlink="">
      <cdr:nvSpPr>
        <cdr:cNvPr id="5" name="txtBoxPrimaryYAxisLabel"/>
        <cdr:cNvSpPr txBox="1"/>
      </cdr:nvSpPr>
      <cdr:spPr>
        <a:xfrm xmlns:a="http://schemas.openxmlformats.org/drawingml/2006/main" rot="16200000">
          <a:off x="-790029" y="1543779"/>
          <a:ext cx="1926894" cy="313141"/>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vertOverflow="clip" vert="horz" wrap="square" lIns="76200" tIns="76200" rIns="76200" bIns="76200" rtlCol="0" anchor="t">
          <a:noAutofit/>
        </a:bodyPr>
        <a:lstStyle xmlns:a="http://schemas.openxmlformats.org/drawingml/2006/main"/>
        <a:p xmlns:a="http://schemas.openxmlformats.org/drawingml/2006/main">
          <a:pPr algn="ctr"/>
          <a:fld id="{4B975B6B-27D4-4E16-9720-8A2505AD9221}" type="TxLink">
            <a:rPr lang="en-US" sz="900" b="0" i="0" u="none" strike="noStrike" dirty="0" err="1" smtClean="0">
              <a:solidFill>
                <a:srgbClr val="000000"/>
              </a:solidFill>
              <a:latin typeface="+mn-lt"/>
              <a:cs typeface="Segoe UI"/>
            </a:rPr>
            <a:pPr algn="ctr"/>
            <a:t>Revenue ($M)</a:t>
          </a:fld>
          <a:endParaRPr lang="en-US" sz="900" b="0" dirty="0" err="1">
            <a:solidFill>
              <a:srgbClr val="000000"/>
            </a:solidFill>
            <a:latin typeface="+mn-lt"/>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Interact Analyis 2025">
    <a:dk1>
      <a:srgbClr val="231F20"/>
    </a:dk1>
    <a:lt1>
      <a:srgbClr val="FFFFFF"/>
    </a:lt1>
    <a:dk2>
      <a:srgbClr val="000000"/>
    </a:dk2>
    <a:lt2>
      <a:srgbClr val="A1ABB2"/>
    </a:lt2>
    <a:accent1>
      <a:srgbClr val="00A4CB"/>
    </a:accent1>
    <a:accent2>
      <a:srgbClr val="414042"/>
    </a:accent2>
    <a:accent3>
      <a:srgbClr val="1681B3"/>
    </a:accent3>
    <a:accent4>
      <a:srgbClr val="124274"/>
    </a:accent4>
    <a:accent5>
      <a:srgbClr val="CE181E"/>
    </a:accent5>
    <a:accent6>
      <a:srgbClr val="87D3E2"/>
    </a:accent6>
    <a:hlink>
      <a:srgbClr val="0563C1"/>
    </a:hlink>
    <a:folHlink>
      <a:srgbClr val="954F72"/>
    </a:folHlink>
  </a:clrScheme>
  <a:fontScheme name="IA 2025">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1E6534FABCC549B2749FF11264572C" ma:contentTypeVersion="19" ma:contentTypeDescription="Create a new document." ma:contentTypeScope="" ma:versionID="953c6ea08df4a4808d1d1672e1f885b3">
  <xsd:schema xmlns:xsd="http://www.w3.org/2001/XMLSchema" xmlns:xs="http://www.w3.org/2001/XMLSchema" xmlns:p="http://schemas.microsoft.com/office/2006/metadata/properties" xmlns:ns2="c6936b9c-b394-490f-b447-d49d93591ad7" xmlns:ns3="30393a4a-43be-427a-ae67-ab472b3759f7" targetNamespace="http://schemas.microsoft.com/office/2006/metadata/properties" ma:root="true" ma:fieldsID="f04cbd67481c53f03bfab6770fd6cab2" ns2:_="" ns3:_="">
    <xsd:import namespace="c6936b9c-b394-490f-b447-d49d93591ad7"/>
    <xsd:import namespace="30393a4a-43be-427a-ae67-ab472b3759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EventHashCode" minOccurs="0"/>
                <xsd:element ref="ns2:MediaServiceGenerationTim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36b9c-b394-490f-b447-d49d93591ad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75fe94-d2d1-4028-bac2-67d79592cccd"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93a4a-43be-427a-ae67-ab472b3759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662a6bf-d3a3-4d9a-ac06-4228acccb2bb}" ma:internalName="TaxCatchAll" ma:showField="CatchAllData" ma:web="30393a4a-43be-427a-ae67-ab472b3759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0393a4a-43be-427a-ae67-ab472b3759f7" xsi:nil="true"/>
    <lcf76f155ced4ddcb4097134ff3c332f xmlns="c6936b9c-b394-490f-b447-d49d93591a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90AB0C-F663-48F1-949C-DB059670DD69}">
  <ds:schemaRefs>
    <ds:schemaRef ds:uri="http://schemas.microsoft.com/sharepoint/v3/contenttype/forms"/>
  </ds:schemaRefs>
</ds:datastoreItem>
</file>

<file path=customXml/itemProps2.xml><?xml version="1.0" encoding="utf-8"?>
<ds:datastoreItem xmlns:ds="http://schemas.openxmlformats.org/officeDocument/2006/customXml" ds:itemID="{DBCD7466-7A24-47AE-926B-35C6EB770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36b9c-b394-490f-b447-d49d93591ad7"/>
    <ds:schemaRef ds:uri="30393a4a-43be-427a-ae67-ab472b3759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4840FC-065F-4D6A-9C25-39D80A88908C}">
  <ds:schemaRefs>
    <ds:schemaRef ds:uri="http://schemas.microsoft.com/office/2006/metadata/properties"/>
    <ds:schemaRef ds:uri="http://schemas.microsoft.com/office/infopath/2007/PartnerControls"/>
    <ds:schemaRef ds:uri="30393a4a-43be-427a-ae67-ab472b3759f7"/>
    <ds:schemaRef ds:uri="c6936b9c-b394-490f-b447-d49d93591ad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871</Words>
  <Characters>4966</Characters>
  <Application>Microsoft Office Word</Application>
  <DocSecurity>0</DocSecurity>
  <Lines>41</Lines>
  <Paragraphs>11</Paragraphs>
  <ScaleCrop>false</ScaleCrop>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Brook</dc:creator>
  <cp:keywords/>
  <dc:description/>
  <cp:lastModifiedBy>Theresa Haworth</cp:lastModifiedBy>
  <cp:revision>4</cp:revision>
  <dcterms:created xsi:type="dcterms:W3CDTF">2026-09-08T09:32:00Z</dcterms:created>
  <dcterms:modified xsi:type="dcterms:W3CDTF">2026-09-08T09:34:00Z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0x010100471E6534FABCC549B2749FF11264572C</vt:lpwstr>
  </property>
  <property fmtid="{D5CDD505-2E9C-101B-9397-08002B2CF9AE}" pid="3" name="MediaServiceImageTags">
    <vt:lpwstr/>
  </property>
  <property fmtid="{D5CDD505-2E9C-101B-9397-08002B2CF9AE}" pid="4" name="docLang">
    <vt:lpwstr>en</vt:lpwstr>
  </property>
  <property fmtid="{D5CDD505-2E9C-101B-9397-08002B2CF9AE}" pid="5" name="GrammarlyDocumentId">
    <vt:lpwstr>50bcee1f-1ef5-411b-9ba5-90eee7b0a1ff</vt:lpwstr>
  </property>
</Properties>
</file>