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07E7" w14:textId="0963C87D" w:rsidR="005109CD" w:rsidRPr="0099303D" w:rsidRDefault="005109CD" w:rsidP="00E84B09">
      <w:pPr>
        <w:spacing w:after="0" w:line="240" w:lineRule="auto"/>
        <w:jc w:val="center"/>
        <w:rPr>
          <w:rFonts w:ascii="Calibri" w:hAnsi="Calibri" w:cs="Calibri"/>
          <w:b/>
          <w:bCs/>
          <w:sz w:val="26"/>
          <w:szCs w:val="26"/>
        </w:rPr>
      </w:pPr>
      <w:r w:rsidRPr="0840C7FA">
        <w:rPr>
          <w:rFonts w:ascii="Calibri" w:hAnsi="Calibri" w:cs="Calibri"/>
          <w:b/>
          <w:bCs/>
          <w:sz w:val="26"/>
          <w:szCs w:val="26"/>
        </w:rPr>
        <w:t>Li-ion</w:t>
      </w:r>
      <w:r w:rsidR="6CCB42EC" w:rsidRPr="0840C7FA">
        <w:rPr>
          <w:rFonts w:ascii="Calibri" w:hAnsi="Calibri" w:cs="Calibri"/>
          <w:b/>
          <w:bCs/>
          <w:sz w:val="26"/>
          <w:szCs w:val="26"/>
        </w:rPr>
        <w:t xml:space="preserve"> battery market demonstrates strong growth, </w:t>
      </w:r>
      <w:r w:rsidR="004F64CD" w:rsidRPr="0840C7FA">
        <w:rPr>
          <w:rFonts w:ascii="Calibri" w:hAnsi="Calibri" w:cs="Calibri"/>
          <w:b/>
          <w:bCs/>
          <w:sz w:val="26"/>
          <w:szCs w:val="26"/>
        </w:rPr>
        <w:t>driven by energy storage shipments</w:t>
      </w:r>
    </w:p>
    <w:p w14:paraId="65CE85C0" w14:textId="77777777" w:rsidR="009E50C4" w:rsidRPr="00FF6B69" w:rsidRDefault="009E50C4" w:rsidP="00E84B09">
      <w:pPr>
        <w:spacing w:after="0" w:line="240" w:lineRule="auto"/>
        <w:jc w:val="center"/>
        <w:rPr>
          <w:rFonts w:ascii="Calibri" w:hAnsi="Calibri" w:cs="Calibri"/>
          <w:sz w:val="22"/>
          <w:szCs w:val="22"/>
          <w:lang w:val="en-US"/>
        </w:rPr>
      </w:pPr>
    </w:p>
    <w:p w14:paraId="57CDC07D" w14:textId="25D0CE6D" w:rsidR="004F64CD" w:rsidRDefault="0046769D" w:rsidP="00E84B09">
      <w:pPr>
        <w:pStyle w:val="ListParagraph"/>
        <w:numPr>
          <w:ilvl w:val="0"/>
          <w:numId w:val="1"/>
        </w:numPr>
        <w:spacing w:after="0" w:line="240" w:lineRule="auto"/>
        <w:rPr>
          <w:rFonts w:ascii="Calibri" w:hAnsi="Calibri" w:cs="Calibri"/>
          <w:b/>
          <w:bCs/>
          <w:sz w:val="22"/>
          <w:szCs w:val="22"/>
          <w:lang w:val="en-US"/>
        </w:rPr>
      </w:pPr>
      <w:r w:rsidRPr="0840C7FA">
        <w:rPr>
          <w:rFonts w:ascii="Calibri" w:hAnsi="Calibri" w:cs="Calibri"/>
          <w:b/>
          <w:bCs/>
          <w:sz w:val="22"/>
          <w:szCs w:val="22"/>
          <w:lang w:val="en-US"/>
        </w:rPr>
        <w:t>G</w:t>
      </w:r>
      <w:r w:rsidR="004F64CD" w:rsidRPr="0840C7FA">
        <w:rPr>
          <w:rFonts w:ascii="Calibri" w:hAnsi="Calibri" w:cs="Calibri"/>
          <w:b/>
          <w:bCs/>
          <w:sz w:val="22"/>
          <w:szCs w:val="22"/>
          <w:lang w:val="en-US"/>
        </w:rPr>
        <w:t>lobal Li-ion battery market forecast</w:t>
      </w:r>
      <w:r w:rsidR="001D4915" w:rsidRPr="0840C7FA">
        <w:rPr>
          <w:rFonts w:ascii="Calibri" w:hAnsi="Calibri" w:cs="Calibri"/>
          <w:b/>
          <w:bCs/>
          <w:sz w:val="22"/>
          <w:szCs w:val="22"/>
          <w:lang w:val="en-US"/>
        </w:rPr>
        <w:t xml:space="preserve"> five-year CAGR of</w:t>
      </w:r>
      <w:r w:rsidR="004F64CD" w:rsidRPr="0840C7FA">
        <w:rPr>
          <w:rFonts w:ascii="Calibri" w:hAnsi="Calibri" w:cs="Calibri"/>
          <w:b/>
          <w:bCs/>
          <w:sz w:val="22"/>
          <w:szCs w:val="22"/>
          <w:lang w:val="en-US"/>
        </w:rPr>
        <w:t xml:space="preserve"> 21%  </w:t>
      </w:r>
    </w:p>
    <w:p w14:paraId="664C0E9A" w14:textId="7220BE7F" w:rsidR="00B023FB" w:rsidRDefault="000578DE" w:rsidP="00E84B09">
      <w:pPr>
        <w:pStyle w:val="ListParagraph"/>
        <w:numPr>
          <w:ilvl w:val="0"/>
          <w:numId w:val="1"/>
        </w:numPr>
        <w:spacing w:after="0" w:line="240" w:lineRule="auto"/>
        <w:rPr>
          <w:rFonts w:ascii="Calibri" w:hAnsi="Calibri" w:cs="Calibri"/>
          <w:b/>
          <w:bCs/>
          <w:sz w:val="22"/>
          <w:szCs w:val="22"/>
          <w:lang w:val="en-US"/>
        </w:rPr>
      </w:pPr>
      <w:r w:rsidRPr="0840C7FA">
        <w:rPr>
          <w:rFonts w:ascii="Calibri" w:hAnsi="Calibri" w:cs="Calibri"/>
          <w:b/>
          <w:bCs/>
          <w:sz w:val="22"/>
          <w:szCs w:val="22"/>
          <w:lang w:val="en-US"/>
        </w:rPr>
        <w:t>Energy storage battery shipments drive global demand</w:t>
      </w:r>
      <w:r w:rsidR="0095112C" w:rsidRPr="0840C7FA">
        <w:rPr>
          <w:rFonts w:ascii="Calibri" w:hAnsi="Calibri" w:cs="Calibri"/>
          <w:b/>
          <w:bCs/>
          <w:sz w:val="22"/>
          <w:szCs w:val="22"/>
          <w:lang w:val="en-US"/>
        </w:rPr>
        <w:t>, growing 67.4% in 2024</w:t>
      </w:r>
    </w:p>
    <w:p w14:paraId="6B0D9A70" w14:textId="2152C9DA" w:rsidR="00B23C66" w:rsidRPr="003063C4" w:rsidRDefault="01D27607" w:rsidP="0840C7FA">
      <w:pPr>
        <w:numPr>
          <w:ilvl w:val="0"/>
          <w:numId w:val="1"/>
        </w:numPr>
        <w:spacing w:after="0" w:line="240" w:lineRule="auto"/>
        <w:rPr>
          <w:rFonts w:ascii="Calibri" w:hAnsi="Calibri" w:cs="Calibri"/>
          <w:b/>
          <w:bCs/>
          <w:lang w:val="en-US"/>
        </w:rPr>
      </w:pPr>
      <w:r w:rsidRPr="0840C7FA">
        <w:rPr>
          <w:rFonts w:ascii="Calibri" w:hAnsi="Calibri" w:cs="Calibri"/>
          <w:b/>
          <w:bCs/>
          <w:sz w:val="22"/>
          <w:szCs w:val="22"/>
          <w:lang w:val="en-US"/>
        </w:rPr>
        <w:t>Tough climate for</w:t>
      </w:r>
      <w:r w:rsidR="341ED8E9" w:rsidRPr="0840C7FA">
        <w:rPr>
          <w:rFonts w:ascii="Calibri" w:hAnsi="Calibri" w:cs="Calibri"/>
          <w:b/>
          <w:bCs/>
          <w:sz w:val="22"/>
          <w:szCs w:val="22"/>
          <w:lang w:val="en-US"/>
        </w:rPr>
        <w:t xml:space="preserve"> </w:t>
      </w:r>
      <w:r w:rsidR="009C1977">
        <w:rPr>
          <w:rFonts w:ascii="Calibri" w:hAnsi="Calibri" w:cs="Calibri"/>
          <w:b/>
          <w:bCs/>
          <w:sz w:val="22"/>
          <w:szCs w:val="22"/>
          <w:lang w:val="en-US"/>
        </w:rPr>
        <w:t xml:space="preserve">the battery </w:t>
      </w:r>
      <w:r w:rsidR="341ED8E9" w:rsidRPr="0840C7FA">
        <w:rPr>
          <w:rFonts w:ascii="Calibri" w:hAnsi="Calibri" w:cs="Calibri"/>
          <w:b/>
          <w:bCs/>
          <w:sz w:val="22"/>
          <w:szCs w:val="22"/>
          <w:lang w:val="en-US"/>
        </w:rPr>
        <w:t xml:space="preserve">manufacturing equipment market </w:t>
      </w:r>
      <w:r w:rsidRPr="0840C7FA">
        <w:rPr>
          <w:rFonts w:ascii="Calibri" w:hAnsi="Calibri" w:cs="Calibri"/>
          <w:b/>
          <w:bCs/>
          <w:sz w:val="22"/>
          <w:szCs w:val="22"/>
          <w:lang w:val="en-US"/>
        </w:rPr>
        <w:t>amid</w:t>
      </w:r>
      <w:r w:rsidR="341ED8E9" w:rsidRPr="0840C7FA">
        <w:rPr>
          <w:rFonts w:ascii="Calibri" w:hAnsi="Calibri" w:cs="Calibri"/>
          <w:b/>
          <w:bCs/>
          <w:sz w:val="22"/>
          <w:szCs w:val="22"/>
          <w:lang w:val="en-US"/>
        </w:rPr>
        <w:t xml:space="preserve"> weak global demand</w:t>
      </w:r>
    </w:p>
    <w:p w14:paraId="4CDF983D" w14:textId="03F63336" w:rsidR="009E50C4" w:rsidRPr="0099303D" w:rsidRDefault="009E50C4" w:rsidP="0840C7FA">
      <w:pPr>
        <w:pStyle w:val="ListParagraph"/>
        <w:spacing w:after="0" w:line="240" w:lineRule="auto"/>
        <w:rPr>
          <w:rFonts w:ascii="Calibri" w:hAnsi="Calibri" w:cs="Calibri"/>
          <w:b/>
          <w:bCs/>
          <w:sz w:val="22"/>
          <w:szCs w:val="22"/>
          <w:lang w:val="en-US"/>
        </w:rPr>
      </w:pPr>
    </w:p>
    <w:p w14:paraId="24BF3CAD" w14:textId="08B9068D" w:rsidR="0099303D" w:rsidRDefault="00B023FB" w:rsidP="00E84B09">
      <w:pPr>
        <w:spacing w:after="0" w:line="240" w:lineRule="auto"/>
        <w:rPr>
          <w:rFonts w:ascii="Calibri" w:hAnsi="Calibri" w:cs="Calibri"/>
          <w:sz w:val="22"/>
          <w:szCs w:val="22"/>
        </w:rPr>
      </w:pPr>
      <w:r w:rsidRPr="0840C7FA">
        <w:rPr>
          <w:rFonts w:ascii="Calibri" w:hAnsi="Calibri" w:cs="Calibri"/>
          <w:b/>
          <w:bCs/>
          <w:sz w:val="22"/>
          <w:szCs w:val="22"/>
          <w:lang w:val="en-US"/>
        </w:rPr>
        <w:t>London</w:t>
      </w:r>
      <w:r w:rsidR="008958AD" w:rsidRPr="0840C7FA">
        <w:rPr>
          <w:rFonts w:ascii="Calibri" w:hAnsi="Calibri" w:cs="Calibri"/>
          <w:b/>
          <w:bCs/>
          <w:sz w:val="22"/>
          <w:szCs w:val="22"/>
          <w:lang w:val="en-US"/>
        </w:rPr>
        <w:t>,</w:t>
      </w:r>
      <w:r w:rsidR="008958AD" w:rsidRPr="0840C7FA">
        <w:rPr>
          <w:rFonts w:ascii="Calibri" w:hAnsi="Calibri" w:cs="Calibri"/>
          <w:b/>
          <w:bCs/>
          <w:color w:val="FF0000"/>
          <w:sz w:val="22"/>
          <w:szCs w:val="22"/>
          <w:lang w:val="en-US"/>
        </w:rPr>
        <w:t xml:space="preserve"> </w:t>
      </w:r>
      <w:r w:rsidR="00AD74F9" w:rsidRPr="00AD74F9">
        <w:rPr>
          <w:rFonts w:ascii="Calibri" w:hAnsi="Calibri" w:cs="Calibri"/>
          <w:b/>
          <w:bCs/>
          <w:sz w:val="22"/>
          <w:szCs w:val="22"/>
          <w:lang w:val="en-US"/>
        </w:rPr>
        <w:t>28th</w:t>
      </w:r>
      <w:r w:rsidR="00AD74F9" w:rsidRPr="00AD74F9">
        <w:rPr>
          <w:rFonts w:ascii="Calibri" w:hAnsi="Calibri" w:cs="Calibri"/>
          <w:b/>
          <w:bCs/>
          <w:sz w:val="22"/>
          <w:szCs w:val="22"/>
          <w:lang w:val="en-US"/>
        </w:rPr>
        <w:t xml:space="preserve"> </w:t>
      </w:r>
      <w:r w:rsidR="008958AD" w:rsidRPr="0840C7FA">
        <w:rPr>
          <w:rFonts w:ascii="Calibri" w:hAnsi="Calibri" w:cs="Calibri"/>
          <w:b/>
          <w:bCs/>
          <w:sz w:val="22"/>
          <w:szCs w:val="22"/>
          <w:lang w:val="en-US"/>
        </w:rPr>
        <w:t>March 2025</w:t>
      </w:r>
      <w:r w:rsidR="008958AD" w:rsidRPr="0840C7FA">
        <w:rPr>
          <w:color w:val="FF0000"/>
          <w:sz w:val="22"/>
          <w:szCs w:val="22"/>
          <w:lang w:val="en-US"/>
        </w:rPr>
        <w:t xml:space="preserve"> </w:t>
      </w:r>
      <w:r w:rsidR="008958AD" w:rsidRPr="0840C7FA">
        <w:rPr>
          <w:lang w:val="en-US"/>
        </w:rPr>
        <w:t xml:space="preserve">– </w:t>
      </w:r>
      <w:r w:rsidR="008958AD" w:rsidRPr="0840C7FA">
        <w:rPr>
          <w:rFonts w:ascii="Calibri" w:hAnsi="Calibri" w:cs="Calibri"/>
          <w:sz w:val="22"/>
          <w:szCs w:val="22"/>
          <w:lang w:val="en-US"/>
        </w:rPr>
        <w:t xml:space="preserve">Strong growth is anticipated </w:t>
      </w:r>
      <w:r w:rsidR="00011433" w:rsidRPr="0840C7FA">
        <w:rPr>
          <w:rFonts w:ascii="Calibri" w:hAnsi="Calibri" w:cs="Calibri"/>
          <w:sz w:val="22"/>
          <w:szCs w:val="22"/>
          <w:lang w:val="en-US"/>
        </w:rPr>
        <w:t>across</w:t>
      </w:r>
      <w:r w:rsidR="008958AD" w:rsidRPr="0840C7FA">
        <w:rPr>
          <w:rFonts w:ascii="Calibri" w:hAnsi="Calibri" w:cs="Calibri"/>
          <w:sz w:val="22"/>
          <w:szCs w:val="22"/>
          <w:lang w:val="en-US"/>
        </w:rPr>
        <w:t xml:space="preserve"> the</w:t>
      </w:r>
      <w:r w:rsidR="00011433" w:rsidRPr="0840C7FA">
        <w:rPr>
          <w:rFonts w:ascii="Calibri" w:hAnsi="Calibri" w:cs="Calibri"/>
          <w:sz w:val="22"/>
          <w:szCs w:val="22"/>
          <w:lang w:val="en-US"/>
        </w:rPr>
        <w:t xml:space="preserve"> entire</w:t>
      </w:r>
      <w:r w:rsidR="008958AD" w:rsidRPr="0840C7FA">
        <w:rPr>
          <w:rFonts w:ascii="Calibri" w:hAnsi="Calibri" w:cs="Calibri"/>
          <w:sz w:val="22"/>
          <w:szCs w:val="22"/>
          <w:lang w:val="en-US"/>
        </w:rPr>
        <w:t xml:space="preserve"> </w:t>
      </w:r>
      <w:r w:rsidR="00D66A16" w:rsidRPr="0840C7FA">
        <w:rPr>
          <w:rFonts w:ascii="Calibri" w:hAnsi="Calibri" w:cs="Calibri"/>
          <w:sz w:val="22"/>
          <w:szCs w:val="22"/>
          <w:lang w:val="en-US"/>
        </w:rPr>
        <w:t>lithium ion (</w:t>
      </w:r>
      <w:r w:rsidR="0029002F" w:rsidRPr="0840C7FA">
        <w:rPr>
          <w:rFonts w:ascii="Calibri" w:hAnsi="Calibri" w:cs="Calibri"/>
          <w:sz w:val="22"/>
          <w:szCs w:val="22"/>
          <w:lang w:val="en-US"/>
        </w:rPr>
        <w:t>L</w:t>
      </w:r>
      <w:r w:rsidR="008958AD" w:rsidRPr="0840C7FA">
        <w:rPr>
          <w:rFonts w:ascii="Calibri" w:hAnsi="Calibri" w:cs="Calibri"/>
          <w:sz w:val="22"/>
          <w:szCs w:val="22"/>
          <w:lang w:val="en-US"/>
        </w:rPr>
        <w:t>i-ion</w:t>
      </w:r>
      <w:r w:rsidR="00D66A16" w:rsidRPr="0840C7FA">
        <w:rPr>
          <w:rFonts w:ascii="Calibri" w:hAnsi="Calibri" w:cs="Calibri"/>
          <w:sz w:val="22"/>
          <w:szCs w:val="22"/>
          <w:lang w:val="en-US"/>
        </w:rPr>
        <w:t>)</w:t>
      </w:r>
      <w:r w:rsidR="008958AD" w:rsidRPr="0840C7FA">
        <w:rPr>
          <w:rFonts w:ascii="Calibri" w:hAnsi="Calibri" w:cs="Calibri"/>
          <w:sz w:val="22"/>
          <w:szCs w:val="22"/>
          <w:lang w:val="en-US"/>
        </w:rPr>
        <w:t xml:space="preserve"> battery landscape; with</w:t>
      </w:r>
      <w:r w:rsidR="00EA17DF" w:rsidRPr="0840C7FA">
        <w:rPr>
          <w:rFonts w:ascii="Calibri" w:hAnsi="Calibri" w:cs="Calibri"/>
          <w:sz w:val="22"/>
          <w:szCs w:val="22"/>
          <w:lang w:val="en-US"/>
        </w:rPr>
        <w:t xml:space="preserve"> global battery shipments forecast</w:t>
      </w:r>
      <w:r w:rsidR="58648F8E" w:rsidRPr="0840C7FA">
        <w:rPr>
          <w:rFonts w:ascii="Calibri" w:hAnsi="Calibri" w:cs="Calibri"/>
          <w:sz w:val="22"/>
          <w:szCs w:val="22"/>
          <w:lang w:val="en-US"/>
        </w:rPr>
        <w:t>ed to have</w:t>
      </w:r>
      <w:r w:rsidR="00EA17DF" w:rsidRPr="0840C7FA">
        <w:rPr>
          <w:rFonts w:ascii="Calibri" w:hAnsi="Calibri" w:cs="Calibri"/>
          <w:sz w:val="22"/>
          <w:szCs w:val="22"/>
          <w:lang w:val="en-US"/>
        </w:rPr>
        <w:t xml:space="preserve"> a </w:t>
      </w:r>
      <w:r w:rsidR="4C4D2640" w:rsidRPr="0840C7FA">
        <w:rPr>
          <w:rFonts w:ascii="Calibri" w:hAnsi="Calibri" w:cs="Calibri"/>
          <w:sz w:val="22"/>
          <w:szCs w:val="22"/>
          <w:lang w:val="en-US"/>
        </w:rPr>
        <w:t>five-year</w:t>
      </w:r>
      <w:r w:rsidR="00EA17DF" w:rsidRPr="0840C7FA">
        <w:rPr>
          <w:rFonts w:ascii="Calibri" w:hAnsi="Calibri" w:cs="Calibri"/>
          <w:sz w:val="22"/>
          <w:szCs w:val="22"/>
          <w:lang w:val="en-US"/>
        </w:rPr>
        <w:t xml:space="preserve"> CAGR of 21% out to </w:t>
      </w:r>
      <w:r w:rsidR="0DA804F2" w:rsidRPr="0840C7FA">
        <w:rPr>
          <w:rFonts w:ascii="Calibri" w:hAnsi="Calibri" w:cs="Calibri"/>
          <w:sz w:val="22"/>
          <w:szCs w:val="22"/>
          <w:lang w:val="en-US"/>
        </w:rPr>
        <w:t>2029</w:t>
      </w:r>
      <w:r w:rsidR="7D5DBE5C" w:rsidRPr="0840C7FA">
        <w:rPr>
          <w:rFonts w:ascii="Calibri" w:hAnsi="Calibri" w:cs="Calibri"/>
          <w:sz w:val="22"/>
          <w:szCs w:val="22"/>
          <w:lang w:val="en-US"/>
        </w:rPr>
        <w:t>, reaching a total value power of 3</w:t>
      </w:r>
      <w:r w:rsidR="0428A132" w:rsidRPr="0840C7FA">
        <w:rPr>
          <w:rFonts w:ascii="Calibri" w:hAnsi="Calibri" w:cs="Calibri"/>
          <w:sz w:val="22"/>
          <w:szCs w:val="22"/>
          <w:lang w:val="en-US"/>
        </w:rPr>
        <w:t>,446 GWh</w:t>
      </w:r>
      <w:r w:rsidR="00EA17DF" w:rsidRPr="0840C7FA">
        <w:rPr>
          <w:rFonts w:ascii="Calibri" w:hAnsi="Calibri" w:cs="Calibri"/>
          <w:sz w:val="22"/>
          <w:szCs w:val="22"/>
        </w:rPr>
        <w:t>.</w:t>
      </w:r>
      <w:r w:rsidR="768FA749" w:rsidRPr="0840C7FA">
        <w:rPr>
          <w:rFonts w:ascii="Calibri" w:hAnsi="Calibri" w:cs="Calibri"/>
          <w:sz w:val="22"/>
          <w:szCs w:val="22"/>
        </w:rPr>
        <w:t xml:space="preserve"> Rates of growth are expected to increase year</w:t>
      </w:r>
      <w:r w:rsidR="0077589D" w:rsidRPr="0840C7FA">
        <w:rPr>
          <w:rFonts w:ascii="Calibri" w:hAnsi="Calibri" w:cs="Calibri"/>
          <w:sz w:val="22"/>
          <w:szCs w:val="22"/>
        </w:rPr>
        <w:t>-on-</w:t>
      </w:r>
      <w:r w:rsidR="768FA749" w:rsidRPr="0840C7FA">
        <w:rPr>
          <w:rFonts w:ascii="Calibri" w:hAnsi="Calibri" w:cs="Calibri"/>
          <w:sz w:val="22"/>
          <w:szCs w:val="22"/>
        </w:rPr>
        <w:t xml:space="preserve">year; with battery shipments </w:t>
      </w:r>
      <w:r w:rsidR="0077589D" w:rsidRPr="0840C7FA">
        <w:rPr>
          <w:rFonts w:ascii="Calibri" w:hAnsi="Calibri" w:cs="Calibri"/>
          <w:sz w:val="22"/>
          <w:szCs w:val="22"/>
        </w:rPr>
        <w:t>rising</w:t>
      </w:r>
      <w:r w:rsidR="26445FA0" w:rsidRPr="0840C7FA">
        <w:rPr>
          <w:rFonts w:ascii="Calibri" w:hAnsi="Calibri" w:cs="Calibri"/>
          <w:sz w:val="22"/>
          <w:szCs w:val="22"/>
        </w:rPr>
        <w:t xml:space="preserve"> by 23% in 2024 and a year-on-year growth </w:t>
      </w:r>
      <w:r w:rsidR="00884639" w:rsidRPr="0840C7FA">
        <w:rPr>
          <w:rFonts w:ascii="Calibri" w:hAnsi="Calibri" w:cs="Calibri"/>
          <w:sz w:val="22"/>
          <w:szCs w:val="22"/>
        </w:rPr>
        <w:t xml:space="preserve">rate </w:t>
      </w:r>
      <w:r w:rsidR="26445FA0" w:rsidRPr="0840C7FA">
        <w:rPr>
          <w:rFonts w:ascii="Calibri" w:hAnsi="Calibri" w:cs="Calibri"/>
          <w:sz w:val="22"/>
          <w:szCs w:val="22"/>
        </w:rPr>
        <w:t>of 26%</w:t>
      </w:r>
      <w:r w:rsidR="00884639" w:rsidRPr="0840C7FA">
        <w:rPr>
          <w:rFonts w:ascii="Calibri" w:hAnsi="Calibri" w:cs="Calibri"/>
          <w:sz w:val="22"/>
          <w:szCs w:val="22"/>
        </w:rPr>
        <w:t xml:space="preserve"> forecast</w:t>
      </w:r>
      <w:r w:rsidR="26445FA0" w:rsidRPr="0840C7FA">
        <w:rPr>
          <w:rFonts w:ascii="Calibri" w:hAnsi="Calibri" w:cs="Calibri"/>
          <w:sz w:val="22"/>
          <w:szCs w:val="22"/>
        </w:rPr>
        <w:t xml:space="preserve"> </w:t>
      </w:r>
      <w:r w:rsidR="00884639" w:rsidRPr="0840C7FA">
        <w:rPr>
          <w:rFonts w:ascii="Calibri" w:hAnsi="Calibri" w:cs="Calibri"/>
          <w:sz w:val="22"/>
          <w:szCs w:val="22"/>
        </w:rPr>
        <w:t>for</w:t>
      </w:r>
      <w:r w:rsidR="26445FA0" w:rsidRPr="0840C7FA">
        <w:rPr>
          <w:rFonts w:ascii="Calibri" w:hAnsi="Calibri" w:cs="Calibri"/>
          <w:sz w:val="22"/>
          <w:szCs w:val="22"/>
        </w:rPr>
        <w:t xml:space="preserve"> 2025.</w:t>
      </w:r>
      <w:r w:rsidR="00EA17DF" w:rsidRPr="0840C7FA">
        <w:rPr>
          <w:rFonts w:ascii="Calibri" w:hAnsi="Calibri" w:cs="Calibri"/>
          <w:sz w:val="22"/>
          <w:szCs w:val="22"/>
        </w:rPr>
        <w:t xml:space="preserve"> </w:t>
      </w:r>
    </w:p>
    <w:p w14:paraId="033C27D8" w14:textId="77777777" w:rsidR="0099303D" w:rsidRDefault="0099303D" w:rsidP="00E84B09">
      <w:pPr>
        <w:spacing w:after="0" w:line="240" w:lineRule="auto"/>
        <w:rPr>
          <w:rFonts w:ascii="Calibri" w:hAnsi="Calibri" w:cs="Calibri"/>
          <w:sz w:val="22"/>
          <w:szCs w:val="22"/>
        </w:rPr>
      </w:pPr>
    </w:p>
    <w:p w14:paraId="5571601E" w14:textId="5787790F" w:rsidR="00120A1D" w:rsidRDefault="00EA17DF" w:rsidP="00E84B09">
      <w:pPr>
        <w:spacing w:after="0" w:line="240" w:lineRule="auto"/>
        <w:rPr>
          <w:rFonts w:ascii="Calibri" w:hAnsi="Calibri" w:cs="Calibri"/>
          <w:sz w:val="22"/>
          <w:szCs w:val="22"/>
          <w:lang w:val="en-US"/>
        </w:rPr>
      </w:pPr>
      <w:r w:rsidRPr="0840C7FA">
        <w:rPr>
          <w:rFonts w:ascii="Calibri" w:hAnsi="Calibri" w:cs="Calibri"/>
          <w:sz w:val="22"/>
          <w:szCs w:val="22"/>
        </w:rPr>
        <w:t xml:space="preserve">The latest update to its Global Li-ion </w:t>
      </w:r>
      <w:r w:rsidR="00E01EDF" w:rsidRPr="0840C7FA">
        <w:rPr>
          <w:rFonts w:ascii="Calibri" w:hAnsi="Calibri" w:cs="Calibri"/>
          <w:sz w:val="22"/>
          <w:szCs w:val="22"/>
        </w:rPr>
        <w:t xml:space="preserve">Battery and Battery Manufacturing Equipment data by Interact Analysis reveals </w:t>
      </w:r>
      <w:r w:rsidR="00120A1D" w:rsidRPr="0840C7FA">
        <w:rPr>
          <w:rFonts w:ascii="Calibri" w:hAnsi="Calibri" w:cs="Calibri"/>
          <w:sz w:val="22"/>
          <w:szCs w:val="22"/>
          <w:lang w:val="en-US"/>
        </w:rPr>
        <w:t>e</w:t>
      </w:r>
      <w:r w:rsidR="12172408" w:rsidRPr="0840C7FA">
        <w:rPr>
          <w:rFonts w:ascii="Calibri" w:hAnsi="Calibri" w:cs="Calibri"/>
          <w:sz w:val="22"/>
          <w:szCs w:val="22"/>
          <w:lang w:val="en-US"/>
        </w:rPr>
        <w:t>n</w:t>
      </w:r>
      <w:r w:rsidR="008958AD" w:rsidRPr="0840C7FA">
        <w:rPr>
          <w:rFonts w:ascii="Calibri" w:hAnsi="Calibri" w:cs="Calibri"/>
          <w:sz w:val="22"/>
          <w:szCs w:val="22"/>
          <w:lang w:val="en-US"/>
        </w:rPr>
        <w:t xml:space="preserve">ergy storage (ESS) battery shipments </w:t>
      </w:r>
      <w:r w:rsidR="0099776D" w:rsidRPr="0840C7FA">
        <w:rPr>
          <w:rFonts w:ascii="Calibri" w:hAnsi="Calibri" w:cs="Calibri"/>
          <w:sz w:val="22"/>
          <w:szCs w:val="22"/>
          <w:lang w:val="en-US"/>
        </w:rPr>
        <w:t>are expected to driv</w:t>
      </w:r>
      <w:r w:rsidR="2F8C201D" w:rsidRPr="0840C7FA">
        <w:rPr>
          <w:rFonts w:ascii="Calibri" w:hAnsi="Calibri" w:cs="Calibri"/>
          <w:sz w:val="22"/>
          <w:szCs w:val="22"/>
          <w:lang w:val="en-US"/>
        </w:rPr>
        <w:t>e</w:t>
      </w:r>
      <w:r w:rsidR="008958AD" w:rsidRPr="0840C7FA">
        <w:rPr>
          <w:rFonts w:ascii="Calibri" w:hAnsi="Calibri" w:cs="Calibri"/>
          <w:sz w:val="22"/>
          <w:szCs w:val="22"/>
          <w:lang w:val="en-US"/>
        </w:rPr>
        <w:t xml:space="preserve"> global demand </w:t>
      </w:r>
      <w:r w:rsidR="0099776D" w:rsidRPr="0840C7FA">
        <w:rPr>
          <w:rFonts w:ascii="Calibri" w:hAnsi="Calibri" w:cs="Calibri"/>
          <w:sz w:val="22"/>
          <w:szCs w:val="22"/>
          <w:lang w:val="en-US"/>
        </w:rPr>
        <w:t xml:space="preserve">over the </w:t>
      </w:r>
      <w:r w:rsidR="00EE1163" w:rsidRPr="0840C7FA">
        <w:rPr>
          <w:rFonts w:ascii="Calibri" w:hAnsi="Calibri" w:cs="Calibri"/>
          <w:sz w:val="22"/>
          <w:szCs w:val="22"/>
          <w:lang w:val="en-US"/>
        </w:rPr>
        <w:t xml:space="preserve">coming years, </w:t>
      </w:r>
      <w:r w:rsidR="008958AD" w:rsidRPr="0840C7FA">
        <w:rPr>
          <w:rFonts w:ascii="Calibri" w:hAnsi="Calibri" w:cs="Calibri"/>
          <w:sz w:val="22"/>
          <w:szCs w:val="22"/>
          <w:lang w:val="en-US"/>
        </w:rPr>
        <w:t>with an impressive 67.4% year-on-y</w:t>
      </w:r>
      <w:r w:rsidR="3AB3E1AF" w:rsidRPr="0840C7FA">
        <w:rPr>
          <w:rFonts w:ascii="Calibri" w:hAnsi="Calibri" w:cs="Calibri"/>
          <w:sz w:val="22"/>
          <w:szCs w:val="22"/>
          <w:lang w:val="en-US"/>
        </w:rPr>
        <w:t>ear g</w:t>
      </w:r>
      <w:r w:rsidR="008958AD" w:rsidRPr="0840C7FA">
        <w:rPr>
          <w:rFonts w:ascii="Calibri" w:hAnsi="Calibri" w:cs="Calibri"/>
          <w:sz w:val="22"/>
          <w:szCs w:val="22"/>
          <w:lang w:val="en-US"/>
        </w:rPr>
        <w:t>rowth</w:t>
      </w:r>
      <w:r w:rsidR="00120A1D" w:rsidRPr="0840C7FA">
        <w:rPr>
          <w:rFonts w:ascii="Calibri" w:hAnsi="Calibri" w:cs="Calibri"/>
          <w:sz w:val="22"/>
          <w:szCs w:val="22"/>
          <w:lang w:val="en-US"/>
        </w:rPr>
        <w:t xml:space="preserve"> rate</w:t>
      </w:r>
      <w:r w:rsidR="00AC21BF" w:rsidRPr="0840C7FA">
        <w:rPr>
          <w:rFonts w:ascii="Calibri" w:hAnsi="Calibri" w:cs="Calibri"/>
          <w:sz w:val="22"/>
          <w:szCs w:val="22"/>
          <w:lang w:val="en-US"/>
        </w:rPr>
        <w:t xml:space="preserve"> to 2029</w:t>
      </w:r>
      <w:r w:rsidR="008958AD" w:rsidRPr="0840C7FA">
        <w:rPr>
          <w:rFonts w:ascii="Calibri" w:hAnsi="Calibri" w:cs="Calibri"/>
          <w:sz w:val="22"/>
          <w:szCs w:val="22"/>
          <w:lang w:val="en-US"/>
        </w:rPr>
        <w:t xml:space="preserve">. </w:t>
      </w:r>
      <w:r w:rsidR="0058255B" w:rsidRPr="0840C7FA">
        <w:rPr>
          <w:rFonts w:ascii="Calibri" w:hAnsi="Calibri" w:cs="Calibri"/>
          <w:sz w:val="22"/>
          <w:szCs w:val="22"/>
          <w:lang w:val="en-US"/>
        </w:rPr>
        <w:t xml:space="preserve">The </w:t>
      </w:r>
      <w:r w:rsidR="3E7DA153" w:rsidRPr="0840C7FA">
        <w:rPr>
          <w:rFonts w:ascii="Calibri" w:hAnsi="Calibri" w:cs="Calibri"/>
          <w:sz w:val="22"/>
          <w:szCs w:val="22"/>
          <w:lang w:val="en-US"/>
        </w:rPr>
        <w:t xml:space="preserve">market </w:t>
      </w:r>
      <w:r w:rsidR="0058255B" w:rsidRPr="0840C7FA">
        <w:rPr>
          <w:rFonts w:ascii="Calibri" w:hAnsi="Calibri" w:cs="Calibri"/>
          <w:sz w:val="22"/>
          <w:szCs w:val="22"/>
          <w:lang w:val="en-US"/>
        </w:rPr>
        <w:t xml:space="preserve">intelligence </w:t>
      </w:r>
      <w:r w:rsidR="3E7DA153" w:rsidRPr="0840C7FA">
        <w:rPr>
          <w:rFonts w:ascii="Calibri" w:hAnsi="Calibri" w:cs="Calibri"/>
          <w:sz w:val="22"/>
          <w:szCs w:val="22"/>
          <w:lang w:val="en-US"/>
        </w:rPr>
        <w:t>specialist note</w:t>
      </w:r>
      <w:r w:rsidR="00AC21BF" w:rsidRPr="0840C7FA">
        <w:rPr>
          <w:rFonts w:ascii="Calibri" w:hAnsi="Calibri" w:cs="Calibri"/>
          <w:sz w:val="22"/>
          <w:szCs w:val="22"/>
          <w:lang w:val="en-US"/>
        </w:rPr>
        <w:t>s</w:t>
      </w:r>
      <w:r w:rsidR="3E7DA153" w:rsidRPr="0840C7FA">
        <w:rPr>
          <w:rFonts w:ascii="Calibri" w:hAnsi="Calibri" w:cs="Calibri"/>
          <w:sz w:val="22"/>
          <w:szCs w:val="22"/>
          <w:lang w:val="en-US"/>
        </w:rPr>
        <w:t xml:space="preserve"> </w:t>
      </w:r>
      <w:r w:rsidR="0058255B" w:rsidRPr="0840C7FA">
        <w:rPr>
          <w:rFonts w:ascii="Calibri" w:hAnsi="Calibri" w:cs="Calibri"/>
          <w:sz w:val="22"/>
          <w:szCs w:val="22"/>
          <w:lang w:val="en-US"/>
        </w:rPr>
        <w:t xml:space="preserve">that, although </w:t>
      </w:r>
      <w:r w:rsidR="008958AD" w:rsidRPr="0840C7FA">
        <w:rPr>
          <w:rFonts w:ascii="Calibri" w:hAnsi="Calibri" w:cs="Calibri"/>
          <w:sz w:val="22"/>
          <w:szCs w:val="22"/>
          <w:lang w:val="en-US"/>
        </w:rPr>
        <w:t xml:space="preserve">the global battery manufacturing equipment </w:t>
      </w:r>
      <w:r w:rsidR="00F61DFF" w:rsidRPr="0840C7FA">
        <w:rPr>
          <w:rFonts w:ascii="Calibri" w:hAnsi="Calibri" w:cs="Calibri"/>
          <w:sz w:val="22"/>
          <w:szCs w:val="22"/>
          <w:lang w:val="en-US"/>
        </w:rPr>
        <w:t xml:space="preserve">market </w:t>
      </w:r>
      <w:r w:rsidR="00120A1D" w:rsidRPr="0840C7FA">
        <w:rPr>
          <w:rFonts w:ascii="Calibri" w:hAnsi="Calibri" w:cs="Calibri"/>
          <w:sz w:val="22"/>
          <w:szCs w:val="22"/>
          <w:lang w:val="en-US"/>
        </w:rPr>
        <w:t>is facing challenges,</w:t>
      </w:r>
      <w:r w:rsidR="0058255B" w:rsidRPr="0840C7FA">
        <w:rPr>
          <w:rFonts w:ascii="Calibri" w:hAnsi="Calibri" w:cs="Calibri"/>
          <w:sz w:val="22"/>
          <w:szCs w:val="22"/>
          <w:lang w:val="en-US"/>
        </w:rPr>
        <w:t xml:space="preserve"> </w:t>
      </w:r>
      <w:r w:rsidR="00120A1D" w:rsidRPr="0840C7FA">
        <w:rPr>
          <w:rFonts w:ascii="Calibri" w:hAnsi="Calibri" w:cs="Calibri"/>
          <w:sz w:val="22"/>
          <w:szCs w:val="22"/>
          <w:lang w:val="en-US"/>
        </w:rPr>
        <w:t>it</w:t>
      </w:r>
      <w:r w:rsidR="008958AD" w:rsidRPr="0840C7FA">
        <w:rPr>
          <w:rFonts w:ascii="Calibri" w:hAnsi="Calibri" w:cs="Calibri"/>
          <w:sz w:val="22"/>
          <w:szCs w:val="22"/>
          <w:lang w:val="en-US"/>
        </w:rPr>
        <w:t xml:space="preserve"> is </w:t>
      </w:r>
      <w:r w:rsidR="00120A1D" w:rsidRPr="0840C7FA">
        <w:rPr>
          <w:rFonts w:ascii="Calibri" w:hAnsi="Calibri" w:cs="Calibri"/>
          <w:sz w:val="22"/>
          <w:szCs w:val="22"/>
          <w:lang w:val="en-US"/>
        </w:rPr>
        <w:t xml:space="preserve">still </w:t>
      </w:r>
      <w:r w:rsidR="008958AD" w:rsidRPr="0840C7FA">
        <w:rPr>
          <w:rFonts w:ascii="Calibri" w:hAnsi="Calibri" w:cs="Calibri"/>
          <w:sz w:val="22"/>
          <w:szCs w:val="22"/>
          <w:lang w:val="en-US"/>
        </w:rPr>
        <w:t>expected to be valued at $29.5 billion by 2029</w:t>
      </w:r>
      <w:r w:rsidR="0058255B" w:rsidRPr="0840C7FA">
        <w:rPr>
          <w:rFonts w:ascii="Calibri" w:hAnsi="Calibri" w:cs="Calibri"/>
          <w:sz w:val="22"/>
          <w:szCs w:val="22"/>
          <w:lang w:val="en-US"/>
        </w:rPr>
        <w:t xml:space="preserve">, </w:t>
      </w:r>
      <w:r w:rsidR="00537845" w:rsidRPr="0840C7FA">
        <w:rPr>
          <w:rFonts w:ascii="Calibri" w:hAnsi="Calibri" w:cs="Calibri"/>
          <w:sz w:val="22"/>
          <w:szCs w:val="22"/>
          <w:lang w:val="en-US"/>
        </w:rPr>
        <w:t xml:space="preserve">with </w:t>
      </w:r>
      <w:r w:rsidR="2C4CA34B" w:rsidRPr="0840C7FA">
        <w:rPr>
          <w:rFonts w:ascii="Calibri" w:hAnsi="Calibri" w:cs="Calibri"/>
          <w:sz w:val="22"/>
          <w:szCs w:val="22"/>
          <w:lang w:val="en-US"/>
        </w:rPr>
        <w:t xml:space="preserve">a </w:t>
      </w:r>
      <w:r w:rsidR="00305868" w:rsidRPr="0840C7FA">
        <w:rPr>
          <w:rFonts w:ascii="Calibri" w:hAnsi="Calibri" w:cs="Calibri"/>
          <w:sz w:val="22"/>
          <w:szCs w:val="22"/>
          <w:lang w:val="en-US"/>
        </w:rPr>
        <w:t>7% CAGR</w:t>
      </w:r>
      <w:r w:rsidR="00960426" w:rsidRPr="0840C7FA">
        <w:rPr>
          <w:rFonts w:ascii="Calibri" w:hAnsi="Calibri" w:cs="Calibri"/>
          <w:sz w:val="22"/>
          <w:szCs w:val="22"/>
          <w:lang w:val="en-US"/>
        </w:rPr>
        <w:t xml:space="preserve"> and up from </w:t>
      </w:r>
      <w:r w:rsidR="5EF5CEB1" w:rsidRPr="0840C7FA">
        <w:rPr>
          <w:rFonts w:ascii="Calibri" w:hAnsi="Calibri" w:cs="Calibri"/>
          <w:sz w:val="22"/>
          <w:szCs w:val="22"/>
          <w:lang w:val="en-US"/>
        </w:rPr>
        <w:t>$21 billion</w:t>
      </w:r>
      <w:r w:rsidR="00960426" w:rsidRPr="0840C7FA">
        <w:rPr>
          <w:rFonts w:ascii="Calibri" w:hAnsi="Calibri" w:cs="Calibri"/>
          <w:sz w:val="22"/>
          <w:szCs w:val="22"/>
          <w:lang w:val="en-US"/>
        </w:rPr>
        <w:t xml:space="preserve"> in 2024</w:t>
      </w:r>
      <w:r w:rsidR="5EF5CEB1" w:rsidRPr="0840C7FA">
        <w:rPr>
          <w:rFonts w:ascii="Calibri" w:hAnsi="Calibri" w:cs="Calibri"/>
          <w:sz w:val="22"/>
          <w:szCs w:val="22"/>
          <w:lang w:val="en-US"/>
        </w:rPr>
        <w:t>.</w:t>
      </w:r>
    </w:p>
    <w:p w14:paraId="4B634F04" w14:textId="6B8448B8" w:rsidR="00727006" w:rsidRDefault="00727006" w:rsidP="0840C7FA">
      <w:pPr>
        <w:spacing w:after="0" w:line="240" w:lineRule="auto"/>
        <w:rPr>
          <w:rFonts w:ascii="Calibri" w:hAnsi="Calibri" w:cs="Calibri"/>
          <w:sz w:val="22"/>
          <w:szCs w:val="22"/>
          <w:lang w:val="en-US"/>
        </w:rPr>
      </w:pPr>
    </w:p>
    <w:p w14:paraId="2C20F2FB" w14:textId="15AC0728" w:rsidR="00727006" w:rsidRPr="0099303D" w:rsidRDefault="00727006" w:rsidP="00E84B09">
      <w:pPr>
        <w:spacing w:after="0" w:line="240" w:lineRule="auto"/>
        <w:rPr>
          <w:rFonts w:ascii="Calibri" w:hAnsi="Calibri" w:cs="Calibri"/>
          <w:b/>
          <w:bCs/>
          <w:sz w:val="22"/>
          <w:szCs w:val="22"/>
          <w:lang w:val="en-US"/>
        </w:rPr>
      </w:pPr>
      <w:r w:rsidRPr="0840C7FA">
        <w:rPr>
          <w:rFonts w:ascii="Calibri" w:hAnsi="Calibri" w:cs="Calibri"/>
          <w:b/>
          <w:bCs/>
          <w:sz w:val="22"/>
          <w:szCs w:val="22"/>
          <w:lang w:val="en-US"/>
        </w:rPr>
        <w:t xml:space="preserve">Lower than expected electric vehicle </w:t>
      </w:r>
      <w:r w:rsidR="00A87425" w:rsidRPr="0840C7FA">
        <w:rPr>
          <w:rFonts w:ascii="Calibri" w:hAnsi="Calibri" w:cs="Calibri"/>
          <w:b/>
          <w:bCs/>
          <w:sz w:val="22"/>
          <w:szCs w:val="22"/>
          <w:lang w:val="en-US"/>
        </w:rPr>
        <w:t>penetration dampens forecasts</w:t>
      </w:r>
    </w:p>
    <w:p w14:paraId="0BB858DC" w14:textId="77777777" w:rsidR="009E50C4" w:rsidRPr="00864BBB" w:rsidRDefault="009E50C4" w:rsidP="00E84B09">
      <w:pPr>
        <w:spacing w:after="0" w:line="240" w:lineRule="auto"/>
        <w:rPr>
          <w:rFonts w:ascii="Calibri" w:hAnsi="Calibri" w:cs="Calibri"/>
          <w:sz w:val="22"/>
          <w:szCs w:val="22"/>
          <w:lang w:val="en-US"/>
        </w:rPr>
      </w:pPr>
    </w:p>
    <w:p w14:paraId="64C3ADD0" w14:textId="0D1AA8DD" w:rsidR="0096018E" w:rsidRDefault="00960426" w:rsidP="00E84B09">
      <w:pPr>
        <w:spacing w:after="0" w:line="240" w:lineRule="auto"/>
        <w:rPr>
          <w:rFonts w:ascii="Calibri" w:hAnsi="Calibri" w:cs="Calibri"/>
          <w:sz w:val="22"/>
          <w:szCs w:val="22"/>
        </w:rPr>
      </w:pPr>
      <w:r w:rsidRPr="0840C7FA">
        <w:rPr>
          <w:rFonts w:ascii="Calibri" w:hAnsi="Calibri" w:cs="Calibri"/>
          <w:sz w:val="22"/>
          <w:szCs w:val="22"/>
        </w:rPr>
        <w:t>D</w:t>
      </w:r>
      <w:r w:rsidR="00864BBB" w:rsidRPr="0840C7FA">
        <w:rPr>
          <w:rFonts w:ascii="Calibri" w:hAnsi="Calibri" w:cs="Calibri"/>
          <w:sz w:val="22"/>
          <w:szCs w:val="22"/>
        </w:rPr>
        <w:t xml:space="preserve">espite </w:t>
      </w:r>
      <w:r w:rsidR="6C1895F5" w:rsidRPr="0840C7FA">
        <w:rPr>
          <w:rFonts w:ascii="Calibri" w:hAnsi="Calibri" w:cs="Calibri"/>
          <w:sz w:val="22"/>
          <w:szCs w:val="22"/>
        </w:rPr>
        <w:t xml:space="preserve">a </w:t>
      </w:r>
      <w:r w:rsidR="00A71F7A" w:rsidRPr="0840C7FA">
        <w:rPr>
          <w:rFonts w:ascii="Calibri" w:hAnsi="Calibri" w:cs="Calibri"/>
          <w:sz w:val="22"/>
          <w:szCs w:val="22"/>
        </w:rPr>
        <w:t>strong growth forecast for</w:t>
      </w:r>
      <w:r w:rsidR="008C77D7" w:rsidRPr="0840C7FA">
        <w:rPr>
          <w:rFonts w:ascii="Calibri" w:hAnsi="Calibri" w:cs="Calibri"/>
          <w:sz w:val="22"/>
          <w:szCs w:val="22"/>
        </w:rPr>
        <w:t xml:space="preserve"> </w:t>
      </w:r>
      <w:r w:rsidR="00864BBB" w:rsidRPr="0840C7FA">
        <w:rPr>
          <w:rFonts w:ascii="Calibri" w:hAnsi="Calibri" w:cs="Calibri"/>
          <w:sz w:val="22"/>
          <w:szCs w:val="22"/>
        </w:rPr>
        <w:t xml:space="preserve">the </w:t>
      </w:r>
      <w:r w:rsidR="00A71F7A" w:rsidRPr="0840C7FA">
        <w:rPr>
          <w:rFonts w:ascii="Calibri" w:hAnsi="Calibri" w:cs="Calibri"/>
          <w:sz w:val="22"/>
          <w:szCs w:val="22"/>
        </w:rPr>
        <w:t xml:space="preserve">global </w:t>
      </w:r>
      <w:r w:rsidR="00864BBB" w:rsidRPr="0840C7FA">
        <w:rPr>
          <w:rFonts w:ascii="Calibri" w:hAnsi="Calibri" w:cs="Calibri"/>
          <w:sz w:val="22"/>
          <w:szCs w:val="22"/>
        </w:rPr>
        <w:t xml:space="preserve">Li-ion battery industry, Interact Analysis has </w:t>
      </w:r>
      <w:r w:rsidR="00A71F7A" w:rsidRPr="0840C7FA">
        <w:rPr>
          <w:rFonts w:ascii="Calibri" w:hAnsi="Calibri" w:cs="Calibri"/>
          <w:sz w:val="22"/>
          <w:szCs w:val="22"/>
        </w:rPr>
        <w:t>revised its forecasts down in the</w:t>
      </w:r>
      <w:r w:rsidR="00864BBB" w:rsidRPr="0840C7FA">
        <w:rPr>
          <w:rFonts w:ascii="Calibri" w:hAnsi="Calibri" w:cs="Calibri"/>
          <w:sz w:val="22"/>
          <w:szCs w:val="22"/>
        </w:rPr>
        <w:t xml:space="preserve"> latest market update, compared </w:t>
      </w:r>
      <w:r w:rsidR="00313E97" w:rsidRPr="0840C7FA">
        <w:rPr>
          <w:rFonts w:ascii="Calibri" w:hAnsi="Calibri" w:cs="Calibri"/>
          <w:sz w:val="22"/>
          <w:szCs w:val="22"/>
        </w:rPr>
        <w:t>with the</w:t>
      </w:r>
      <w:r w:rsidR="00864BBB" w:rsidRPr="0840C7FA">
        <w:rPr>
          <w:rFonts w:ascii="Calibri" w:hAnsi="Calibri" w:cs="Calibri"/>
          <w:sz w:val="22"/>
          <w:szCs w:val="22"/>
        </w:rPr>
        <w:t xml:space="preserve"> report </w:t>
      </w:r>
      <w:r w:rsidR="00313E97" w:rsidRPr="0840C7FA">
        <w:rPr>
          <w:rFonts w:ascii="Calibri" w:hAnsi="Calibri" w:cs="Calibri"/>
          <w:sz w:val="22"/>
          <w:szCs w:val="22"/>
        </w:rPr>
        <w:t xml:space="preserve">published in </w:t>
      </w:r>
      <w:r w:rsidR="00864BBB" w:rsidRPr="0840C7FA">
        <w:rPr>
          <w:rFonts w:ascii="Calibri" w:hAnsi="Calibri" w:cs="Calibri"/>
          <w:sz w:val="22"/>
          <w:szCs w:val="22"/>
        </w:rPr>
        <w:t>September 2024</w:t>
      </w:r>
      <w:r w:rsidR="00F42362" w:rsidRPr="0840C7FA">
        <w:rPr>
          <w:rFonts w:ascii="Calibri" w:hAnsi="Calibri" w:cs="Calibri"/>
          <w:sz w:val="22"/>
          <w:szCs w:val="22"/>
        </w:rPr>
        <w:t>.</w:t>
      </w:r>
      <w:r w:rsidR="00F45776" w:rsidRPr="0840C7FA">
        <w:rPr>
          <w:rFonts w:ascii="Calibri" w:hAnsi="Calibri" w:cs="Calibri"/>
          <w:sz w:val="22"/>
          <w:szCs w:val="22"/>
        </w:rPr>
        <w:t xml:space="preserve"> The revisions</w:t>
      </w:r>
      <w:r w:rsidR="00F42362" w:rsidRPr="0840C7FA">
        <w:rPr>
          <w:rFonts w:ascii="Calibri" w:hAnsi="Calibri" w:cs="Calibri"/>
          <w:sz w:val="22"/>
          <w:szCs w:val="22"/>
        </w:rPr>
        <w:t xml:space="preserve"> stem</w:t>
      </w:r>
      <w:r w:rsidR="00F45776" w:rsidRPr="0840C7FA">
        <w:rPr>
          <w:rFonts w:ascii="Calibri" w:hAnsi="Calibri" w:cs="Calibri"/>
          <w:sz w:val="22"/>
          <w:szCs w:val="22"/>
        </w:rPr>
        <w:t xml:space="preserve"> </w:t>
      </w:r>
      <w:r w:rsidR="00F42362" w:rsidRPr="0840C7FA">
        <w:rPr>
          <w:rFonts w:ascii="Calibri" w:hAnsi="Calibri" w:cs="Calibri"/>
          <w:sz w:val="22"/>
          <w:szCs w:val="22"/>
        </w:rPr>
        <w:t>from unmet expectations rather than actual declines in growth – such</w:t>
      </w:r>
      <w:r w:rsidR="2CF51837" w:rsidRPr="0840C7FA">
        <w:rPr>
          <w:rFonts w:ascii="Calibri" w:hAnsi="Calibri" w:cs="Calibri"/>
          <w:sz w:val="22"/>
          <w:szCs w:val="22"/>
        </w:rPr>
        <w:t xml:space="preserve"> as</w:t>
      </w:r>
      <w:r w:rsidR="00F42362" w:rsidRPr="0840C7FA">
        <w:rPr>
          <w:rFonts w:ascii="Calibri" w:hAnsi="Calibri" w:cs="Calibri"/>
          <w:sz w:val="22"/>
          <w:szCs w:val="22"/>
        </w:rPr>
        <w:t xml:space="preserve"> </w:t>
      </w:r>
      <w:r w:rsidR="002F239A" w:rsidRPr="0840C7FA">
        <w:rPr>
          <w:rFonts w:ascii="Calibri" w:hAnsi="Calibri" w:cs="Calibri"/>
          <w:sz w:val="22"/>
          <w:szCs w:val="22"/>
        </w:rPr>
        <w:t>lower than anticipated</w:t>
      </w:r>
      <w:r w:rsidR="00F42362" w:rsidRPr="0840C7FA">
        <w:rPr>
          <w:rFonts w:ascii="Calibri" w:hAnsi="Calibri" w:cs="Calibri"/>
          <w:sz w:val="22"/>
          <w:szCs w:val="22"/>
        </w:rPr>
        <w:t xml:space="preserve"> </w:t>
      </w:r>
      <w:r w:rsidR="002F239A" w:rsidRPr="0840C7FA">
        <w:rPr>
          <w:rFonts w:ascii="Calibri" w:hAnsi="Calibri" w:cs="Calibri"/>
          <w:sz w:val="22"/>
          <w:szCs w:val="22"/>
        </w:rPr>
        <w:t xml:space="preserve">electric vehicle </w:t>
      </w:r>
      <w:r w:rsidR="00F42362" w:rsidRPr="0840C7FA">
        <w:rPr>
          <w:rFonts w:ascii="Calibri" w:hAnsi="Calibri" w:cs="Calibri"/>
          <w:sz w:val="22"/>
          <w:szCs w:val="22"/>
        </w:rPr>
        <w:t xml:space="preserve">market penetration </w:t>
      </w:r>
      <w:r w:rsidR="002F239A" w:rsidRPr="0840C7FA">
        <w:rPr>
          <w:rFonts w:ascii="Calibri" w:hAnsi="Calibri" w:cs="Calibri"/>
          <w:sz w:val="22"/>
          <w:szCs w:val="22"/>
        </w:rPr>
        <w:t xml:space="preserve">in the </w:t>
      </w:r>
      <w:r w:rsidR="0084490F" w:rsidRPr="0840C7FA">
        <w:rPr>
          <w:rFonts w:ascii="Calibri" w:hAnsi="Calibri" w:cs="Calibri"/>
          <w:sz w:val="22"/>
          <w:szCs w:val="22"/>
        </w:rPr>
        <w:t>Americas and EMEA regions</w:t>
      </w:r>
      <w:r w:rsidR="00F42362" w:rsidRPr="0840C7FA">
        <w:rPr>
          <w:rFonts w:ascii="Calibri" w:hAnsi="Calibri" w:cs="Calibri"/>
          <w:sz w:val="22"/>
          <w:szCs w:val="22"/>
        </w:rPr>
        <w:t xml:space="preserve"> </w:t>
      </w:r>
      <w:r w:rsidR="0084490F" w:rsidRPr="0840C7FA">
        <w:rPr>
          <w:rFonts w:ascii="Calibri" w:hAnsi="Calibri" w:cs="Calibri"/>
          <w:sz w:val="22"/>
          <w:szCs w:val="22"/>
        </w:rPr>
        <w:t>and disappointing</w:t>
      </w:r>
      <w:r w:rsidR="00F42362" w:rsidRPr="0840C7FA">
        <w:rPr>
          <w:rFonts w:ascii="Calibri" w:hAnsi="Calibri" w:cs="Calibri"/>
          <w:sz w:val="22"/>
          <w:szCs w:val="22"/>
        </w:rPr>
        <w:t xml:space="preserve"> Li-ion battery demand in the US. </w:t>
      </w:r>
    </w:p>
    <w:p w14:paraId="44D60BF4" w14:textId="77777777" w:rsidR="009E6025" w:rsidRDefault="009E6025" w:rsidP="00E84B09">
      <w:pPr>
        <w:spacing w:after="0" w:line="240" w:lineRule="auto"/>
        <w:rPr>
          <w:rFonts w:ascii="Calibri" w:hAnsi="Calibri" w:cs="Calibri"/>
          <w:sz w:val="22"/>
          <w:szCs w:val="22"/>
        </w:rPr>
      </w:pPr>
    </w:p>
    <w:p w14:paraId="6C9475CA" w14:textId="4CDAB723" w:rsidR="009E50C4" w:rsidRDefault="009E50C4" w:rsidP="0099303D">
      <w:pPr>
        <w:spacing w:after="0" w:line="240" w:lineRule="auto"/>
        <w:jc w:val="center"/>
        <w:rPr>
          <w:rFonts w:ascii="Calibri" w:hAnsi="Calibri" w:cs="Calibri"/>
          <w:sz w:val="22"/>
          <w:szCs w:val="22"/>
        </w:rPr>
      </w:pPr>
      <w:r w:rsidRPr="00864BBB">
        <w:rPr>
          <w:rFonts w:ascii="Calibri" w:hAnsi="Calibri" w:cs="Calibri"/>
          <w:noProof/>
          <w:sz w:val="22"/>
          <w:szCs w:val="22"/>
        </w:rPr>
        <w:drawing>
          <wp:inline distT="0" distB="0" distL="0" distR="0" wp14:anchorId="031AD4CF" wp14:editId="19382259">
            <wp:extent cx="3606165" cy="2565400"/>
            <wp:effectExtent l="0" t="0" r="0" b="6350"/>
            <wp:docPr id="922262056" name="Picture 1" descr="A graph of a graph showing the price of a batt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62056" name="Picture 1" descr="A graph of a graph showing the price of a battery&#10;&#10;AI-generated content may be incorrect."/>
                    <pic:cNvPicPr/>
                  </pic:nvPicPr>
                  <pic:blipFill rotWithShape="1">
                    <a:blip r:embed="rId8">
                      <a:extLst>
                        <a:ext uri="{28A0092B-C50C-407E-A947-70E740481C1C}">
                          <a14:useLocalDpi xmlns:a14="http://schemas.microsoft.com/office/drawing/2010/main" val="0"/>
                        </a:ext>
                      </a:extLst>
                    </a:blip>
                    <a:srcRect l="2346" t="2135" r="2496" b="1984"/>
                    <a:stretch/>
                  </pic:blipFill>
                  <pic:spPr bwMode="auto">
                    <a:xfrm>
                      <a:off x="0" y="0"/>
                      <a:ext cx="3606165" cy="2565400"/>
                    </a:xfrm>
                    <a:prstGeom prst="rect">
                      <a:avLst/>
                    </a:prstGeom>
                    <a:ln>
                      <a:noFill/>
                    </a:ln>
                    <a:extLst>
                      <a:ext uri="{53640926-AAD7-44D8-BBD7-CCE9431645EC}">
                        <a14:shadowObscured xmlns:a14="http://schemas.microsoft.com/office/drawing/2010/main"/>
                      </a:ext>
                    </a:extLst>
                  </pic:spPr>
                </pic:pic>
              </a:graphicData>
            </a:graphic>
          </wp:inline>
        </w:drawing>
      </w:r>
    </w:p>
    <w:p w14:paraId="1E1ECFBB" w14:textId="0A418B90" w:rsidR="00864BBB" w:rsidRDefault="00864BBB" w:rsidP="0840C7FA">
      <w:pPr>
        <w:spacing w:after="0" w:line="240" w:lineRule="auto"/>
        <w:jc w:val="center"/>
        <w:rPr>
          <w:rFonts w:ascii="Calibri" w:hAnsi="Calibri" w:cs="Calibri"/>
          <w:sz w:val="22"/>
          <w:szCs w:val="22"/>
          <w:lang w:val="en-US"/>
        </w:rPr>
      </w:pPr>
    </w:p>
    <w:p w14:paraId="73B2FCEB" w14:textId="3F4BBCD3" w:rsidR="009E50C4" w:rsidRPr="0008637A" w:rsidRDefault="0008637A" w:rsidP="0840C7FA">
      <w:pPr>
        <w:spacing w:after="0" w:line="240" w:lineRule="auto"/>
        <w:jc w:val="center"/>
        <w:rPr>
          <w:rFonts w:ascii="Calibri" w:hAnsi="Calibri" w:cs="Calibri"/>
          <w:i/>
          <w:iCs/>
          <w:sz w:val="22"/>
          <w:szCs w:val="22"/>
          <w:lang w:val="en-US"/>
        </w:rPr>
      </w:pPr>
      <w:r w:rsidRPr="0840C7FA">
        <w:rPr>
          <w:rFonts w:ascii="Calibri" w:hAnsi="Calibri" w:cs="Calibri"/>
          <w:i/>
          <w:iCs/>
          <w:sz w:val="22"/>
          <w:szCs w:val="22"/>
          <w:lang w:val="en-US"/>
        </w:rPr>
        <w:t xml:space="preserve">Growth in global Li-ion battery shipments </w:t>
      </w:r>
      <w:r w:rsidR="009E6025" w:rsidRPr="0840C7FA">
        <w:rPr>
          <w:rFonts w:ascii="Calibri" w:hAnsi="Calibri" w:cs="Calibri"/>
          <w:i/>
          <w:iCs/>
          <w:sz w:val="22"/>
          <w:szCs w:val="22"/>
          <w:lang w:val="en-US"/>
        </w:rPr>
        <w:t xml:space="preserve">is expected to be slightly lower through to 2029 than </w:t>
      </w:r>
      <w:r w:rsidR="00AF1968">
        <w:rPr>
          <w:rFonts w:ascii="Calibri" w:hAnsi="Calibri" w:cs="Calibri"/>
          <w:i/>
          <w:iCs/>
          <w:sz w:val="22"/>
          <w:szCs w:val="22"/>
          <w:lang w:val="en-US"/>
        </w:rPr>
        <w:t>earlier</w:t>
      </w:r>
      <w:r w:rsidR="00AF1968" w:rsidRPr="0840C7FA">
        <w:rPr>
          <w:rFonts w:ascii="Calibri" w:hAnsi="Calibri" w:cs="Calibri"/>
          <w:i/>
          <w:iCs/>
          <w:sz w:val="22"/>
          <w:szCs w:val="22"/>
          <w:lang w:val="en-US"/>
        </w:rPr>
        <w:t xml:space="preserve"> </w:t>
      </w:r>
      <w:r w:rsidR="009E6025" w:rsidRPr="0840C7FA">
        <w:rPr>
          <w:rFonts w:ascii="Calibri" w:hAnsi="Calibri" w:cs="Calibri"/>
          <w:i/>
          <w:iCs/>
          <w:sz w:val="22"/>
          <w:szCs w:val="22"/>
          <w:lang w:val="en-US"/>
        </w:rPr>
        <w:t>forecasts suggested</w:t>
      </w:r>
    </w:p>
    <w:p w14:paraId="75100E61" w14:textId="02F4A32E" w:rsidR="009E50C4" w:rsidRPr="0099303D" w:rsidDel="009E6025" w:rsidRDefault="009E50C4" w:rsidP="00E84B09">
      <w:pPr>
        <w:spacing w:after="0" w:line="240" w:lineRule="auto"/>
        <w:rPr>
          <w:rFonts w:ascii="Calibri" w:hAnsi="Calibri" w:cs="Calibri"/>
          <w:b/>
          <w:bCs/>
          <w:lang w:val="en-US"/>
        </w:rPr>
      </w:pPr>
    </w:p>
    <w:p w14:paraId="29C98CF0" w14:textId="71BC2593" w:rsidR="00D30485" w:rsidRPr="0099303D" w:rsidRDefault="00D30485" w:rsidP="0840C7FA">
      <w:pPr>
        <w:spacing w:after="0" w:line="240" w:lineRule="auto"/>
        <w:rPr>
          <w:rFonts w:ascii="Calibri" w:hAnsi="Calibri" w:cs="Calibri"/>
          <w:sz w:val="22"/>
          <w:szCs w:val="22"/>
        </w:rPr>
      </w:pPr>
      <w:r w:rsidRPr="0840C7FA">
        <w:rPr>
          <w:rFonts w:ascii="Calibri" w:hAnsi="Calibri" w:cs="Calibri"/>
          <w:sz w:val="22"/>
          <w:szCs w:val="22"/>
        </w:rPr>
        <w:t>Forecasts for Li-ion battery shipments have been downgraded</w:t>
      </w:r>
      <w:r w:rsidR="00BA5C1F" w:rsidRPr="0840C7FA">
        <w:rPr>
          <w:rFonts w:ascii="Calibri" w:hAnsi="Calibri" w:cs="Calibri"/>
          <w:sz w:val="22"/>
          <w:szCs w:val="22"/>
        </w:rPr>
        <w:t xml:space="preserve"> </w:t>
      </w:r>
      <w:r w:rsidRPr="0840C7FA">
        <w:rPr>
          <w:rFonts w:ascii="Calibri" w:hAnsi="Calibri" w:cs="Calibri"/>
          <w:sz w:val="22"/>
          <w:szCs w:val="22"/>
        </w:rPr>
        <w:t>both in the short and long</w:t>
      </w:r>
      <w:r w:rsidR="009B29D7">
        <w:rPr>
          <w:rFonts w:ascii="Calibri" w:hAnsi="Calibri" w:cs="Calibri"/>
          <w:sz w:val="22"/>
          <w:szCs w:val="22"/>
        </w:rPr>
        <w:t>-</w:t>
      </w:r>
      <w:r w:rsidRPr="0840C7FA">
        <w:rPr>
          <w:rFonts w:ascii="Calibri" w:hAnsi="Calibri" w:cs="Calibri"/>
          <w:sz w:val="22"/>
          <w:szCs w:val="22"/>
        </w:rPr>
        <w:t xml:space="preserve">term, driven by weaker-than-expected performance in the electric vehicle markets of the Americas and EMEA regions </w:t>
      </w:r>
      <w:r w:rsidR="003353E9">
        <w:rPr>
          <w:rFonts w:ascii="Calibri" w:hAnsi="Calibri" w:cs="Calibri"/>
          <w:sz w:val="22"/>
          <w:szCs w:val="22"/>
        </w:rPr>
        <w:t>–</w:t>
      </w:r>
      <w:r w:rsidRPr="0840C7FA">
        <w:rPr>
          <w:rFonts w:ascii="Calibri" w:hAnsi="Calibri" w:cs="Calibri"/>
          <w:sz w:val="22"/>
          <w:szCs w:val="22"/>
        </w:rPr>
        <w:t xml:space="preserve"> particularly in the U</w:t>
      </w:r>
      <w:r w:rsidR="008F3113" w:rsidRPr="0840C7FA">
        <w:rPr>
          <w:rFonts w:ascii="Calibri" w:hAnsi="Calibri" w:cs="Calibri"/>
          <w:sz w:val="22"/>
          <w:szCs w:val="22"/>
        </w:rPr>
        <w:t>S</w:t>
      </w:r>
      <w:r w:rsidR="472F8B07" w:rsidRPr="0840C7FA">
        <w:rPr>
          <w:rFonts w:ascii="Calibri" w:hAnsi="Calibri" w:cs="Calibri"/>
          <w:sz w:val="22"/>
          <w:szCs w:val="22"/>
        </w:rPr>
        <w:t>.</w:t>
      </w:r>
      <w:r w:rsidRPr="0840C7FA">
        <w:rPr>
          <w:rFonts w:ascii="Calibri" w:hAnsi="Calibri" w:cs="Calibri"/>
          <w:sz w:val="22"/>
          <w:szCs w:val="22"/>
        </w:rPr>
        <w:t xml:space="preserve"> The U</w:t>
      </w:r>
      <w:r w:rsidR="008F3113" w:rsidRPr="0840C7FA">
        <w:rPr>
          <w:rFonts w:ascii="Calibri" w:hAnsi="Calibri" w:cs="Calibri"/>
          <w:sz w:val="22"/>
          <w:szCs w:val="22"/>
        </w:rPr>
        <w:t>S</w:t>
      </w:r>
      <w:r w:rsidRPr="0840C7FA">
        <w:rPr>
          <w:rFonts w:ascii="Calibri" w:hAnsi="Calibri" w:cs="Calibri"/>
          <w:sz w:val="22"/>
          <w:szCs w:val="22"/>
        </w:rPr>
        <w:t xml:space="preserve"> slowdown is evident in projected growth dropping from 23% to 14%, largely due to new industrial policies shifting </w:t>
      </w:r>
      <w:r w:rsidR="005B3365" w:rsidRPr="0840C7FA">
        <w:rPr>
          <w:rFonts w:ascii="Calibri" w:hAnsi="Calibri" w:cs="Calibri"/>
          <w:sz w:val="22"/>
          <w:szCs w:val="22"/>
        </w:rPr>
        <w:t xml:space="preserve">the </w:t>
      </w:r>
      <w:r w:rsidRPr="0840C7FA">
        <w:rPr>
          <w:rFonts w:ascii="Calibri" w:hAnsi="Calibri" w:cs="Calibri"/>
          <w:sz w:val="22"/>
          <w:szCs w:val="22"/>
        </w:rPr>
        <w:t xml:space="preserve">focus away from green energy </w:t>
      </w:r>
      <w:r w:rsidRPr="0840C7FA">
        <w:rPr>
          <w:rFonts w:ascii="Calibri" w:hAnsi="Calibri" w:cs="Calibri"/>
          <w:sz w:val="22"/>
          <w:szCs w:val="22"/>
        </w:rPr>
        <w:lastRenderedPageBreak/>
        <w:t>applications</w:t>
      </w:r>
      <w:r w:rsidR="7883903A" w:rsidRPr="0840C7FA">
        <w:rPr>
          <w:rFonts w:ascii="Calibri" w:hAnsi="Calibri" w:cs="Calibri"/>
          <w:sz w:val="22"/>
          <w:szCs w:val="22"/>
        </w:rPr>
        <w:t>. T</w:t>
      </w:r>
      <w:r w:rsidR="005B3365" w:rsidRPr="0840C7FA">
        <w:rPr>
          <w:rFonts w:ascii="Calibri" w:hAnsi="Calibri" w:cs="Calibri"/>
          <w:sz w:val="22"/>
          <w:szCs w:val="22"/>
        </w:rPr>
        <w:t>he</w:t>
      </w:r>
      <w:r w:rsidRPr="0840C7FA">
        <w:rPr>
          <w:rFonts w:ascii="Calibri" w:hAnsi="Calibri" w:cs="Calibri"/>
          <w:sz w:val="22"/>
          <w:szCs w:val="22"/>
        </w:rPr>
        <w:t xml:space="preserve"> stagnation of the American EV market could also impact Mexico, further exacerbating weak demand. </w:t>
      </w:r>
    </w:p>
    <w:p w14:paraId="7563D04C" w14:textId="77777777" w:rsidR="009E50C4" w:rsidRPr="005B3365" w:rsidRDefault="009E50C4" w:rsidP="00E84B09">
      <w:pPr>
        <w:spacing w:after="0" w:line="240" w:lineRule="auto"/>
        <w:rPr>
          <w:rFonts w:ascii="Calibri" w:hAnsi="Calibri" w:cs="Calibri"/>
          <w:sz w:val="22"/>
          <w:szCs w:val="22"/>
        </w:rPr>
      </w:pPr>
    </w:p>
    <w:p w14:paraId="58022F72" w14:textId="40AA7A93" w:rsidR="00B023FB" w:rsidRPr="0099303D" w:rsidRDefault="00B023FB" w:rsidP="00E84B09">
      <w:pPr>
        <w:spacing w:after="0" w:line="240" w:lineRule="auto"/>
        <w:rPr>
          <w:rFonts w:ascii="Calibri" w:hAnsi="Calibri" w:cs="Calibri"/>
          <w:b/>
          <w:bCs/>
          <w:sz w:val="22"/>
          <w:szCs w:val="22"/>
        </w:rPr>
      </w:pPr>
      <w:r w:rsidRPr="0840C7FA">
        <w:rPr>
          <w:rFonts w:ascii="Calibri" w:hAnsi="Calibri" w:cs="Calibri"/>
          <w:b/>
          <w:bCs/>
          <w:sz w:val="22"/>
          <w:szCs w:val="22"/>
        </w:rPr>
        <w:t xml:space="preserve">Strong </w:t>
      </w:r>
      <w:r w:rsidR="005B3365" w:rsidRPr="0840C7FA">
        <w:rPr>
          <w:rFonts w:ascii="Calibri" w:hAnsi="Calibri" w:cs="Calibri"/>
          <w:b/>
          <w:bCs/>
          <w:sz w:val="22"/>
          <w:szCs w:val="22"/>
        </w:rPr>
        <w:t xml:space="preserve">growth </w:t>
      </w:r>
      <w:r w:rsidR="00727006" w:rsidRPr="0840C7FA">
        <w:rPr>
          <w:rFonts w:ascii="Calibri" w:hAnsi="Calibri" w:cs="Calibri"/>
          <w:b/>
          <w:bCs/>
          <w:sz w:val="22"/>
          <w:szCs w:val="22"/>
        </w:rPr>
        <w:t>projected for global energy storage market</w:t>
      </w:r>
    </w:p>
    <w:p w14:paraId="1E1E3603" w14:textId="77777777" w:rsidR="009E50C4" w:rsidRDefault="009E50C4" w:rsidP="00E84B09">
      <w:pPr>
        <w:spacing w:after="0" w:line="240" w:lineRule="auto"/>
        <w:rPr>
          <w:rFonts w:ascii="Calibri" w:hAnsi="Calibri" w:cs="Calibri"/>
          <w:b/>
          <w:bCs/>
        </w:rPr>
      </w:pPr>
    </w:p>
    <w:p w14:paraId="7A1FDB04" w14:textId="726D1364" w:rsidR="00B023FB" w:rsidRDefault="00687712" w:rsidP="2FE8CBD4">
      <w:pPr>
        <w:spacing w:after="0" w:line="240" w:lineRule="auto"/>
        <w:rPr>
          <w:rFonts w:ascii="Calibri" w:eastAsia="Calibri" w:hAnsi="Calibri" w:cs="Calibri"/>
          <w:sz w:val="22"/>
          <w:szCs w:val="22"/>
        </w:rPr>
      </w:pPr>
      <w:r w:rsidRPr="0840C7FA">
        <w:rPr>
          <w:rFonts w:ascii="Calibri" w:hAnsi="Calibri" w:cs="Calibri"/>
          <w:sz w:val="22"/>
          <w:szCs w:val="22"/>
        </w:rPr>
        <w:t xml:space="preserve">Comparatively, the outlook for the global </w:t>
      </w:r>
      <w:r w:rsidR="129EB15D" w:rsidRPr="0840C7FA">
        <w:rPr>
          <w:rFonts w:ascii="Calibri" w:hAnsi="Calibri" w:cs="Calibri"/>
          <w:sz w:val="22"/>
          <w:szCs w:val="22"/>
        </w:rPr>
        <w:t>energy</w:t>
      </w:r>
      <w:r w:rsidR="6E4E812E" w:rsidRPr="0840C7FA">
        <w:rPr>
          <w:rFonts w:ascii="Calibri" w:hAnsi="Calibri" w:cs="Calibri"/>
          <w:sz w:val="22"/>
          <w:szCs w:val="22"/>
        </w:rPr>
        <w:t xml:space="preserve"> storage (</w:t>
      </w:r>
      <w:r w:rsidRPr="0840C7FA">
        <w:rPr>
          <w:rFonts w:ascii="Calibri" w:hAnsi="Calibri" w:cs="Calibri"/>
          <w:sz w:val="22"/>
          <w:szCs w:val="22"/>
        </w:rPr>
        <w:t>ESS</w:t>
      </w:r>
      <w:r w:rsidR="2DF7A09C" w:rsidRPr="0840C7FA">
        <w:rPr>
          <w:rFonts w:ascii="Calibri" w:hAnsi="Calibri" w:cs="Calibri"/>
          <w:sz w:val="22"/>
          <w:szCs w:val="22"/>
        </w:rPr>
        <w:t>)</w:t>
      </w:r>
      <w:r w:rsidRPr="0840C7FA">
        <w:rPr>
          <w:rFonts w:ascii="Calibri" w:hAnsi="Calibri" w:cs="Calibri"/>
          <w:sz w:val="22"/>
          <w:szCs w:val="22"/>
        </w:rPr>
        <w:t xml:space="preserve"> market is overwhelming</w:t>
      </w:r>
      <w:r w:rsidR="00870F7D">
        <w:rPr>
          <w:rFonts w:ascii="Calibri" w:hAnsi="Calibri" w:cs="Calibri"/>
          <w:sz w:val="22"/>
          <w:szCs w:val="22"/>
        </w:rPr>
        <w:t>ly</w:t>
      </w:r>
      <w:r w:rsidRPr="0840C7FA">
        <w:rPr>
          <w:rFonts w:ascii="Calibri" w:hAnsi="Calibri" w:cs="Calibri"/>
          <w:sz w:val="22"/>
          <w:szCs w:val="22"/>
        </w:rPr>
        <w:t xml:space="preserve"> positive, with the ESS market</w:t>
      </w:r>
      <w:r w:rsidR="00A84345" w:rsidRPr="0840C7FA">
        <w:rPr>
          <w:rFonts w:ascii="Calibri" w:hAnsi="Calibri" w:cs="Calibri"/>
          <w:sz w:val="22"/>
          <w:szCs w:val="22"/>
        </w:rPr>
        <w:t xml:space="preserve"> in the Americas region</w:t>
      </w:r>
      <w:r w:rsidRPr="0840C7FA">
        <w:rPr>
          <w:rFonts w:ascii="Calibri" w:hAnsi="Calibri" w:cs="Calibri"/>
          <w:sz w:val="22"/>
          <w:szCs w:val="22"/>
        </w:rPr>
        <w:t xml:space="preserve"> surpassing previous expectations</w:t>
      </w:r>
      <w:r w:rsidR="3E84C76F" w:rsidRPr="0840C7FA">
        <w:rPr>
          <w:rFonts w:ascii="Calibri" w:hAnsi="Calibri" w:cs="Calibri"/>
          <w:sz w:val="22"/>
          <w:szCs w:val="22"/>
        </w:rPr>
        <w:t xml:space="preserve"> </w:t>
      </w:r>
      <w:r w:rsidR="00A84345" w:rsidRPr="0840C7FA">
        <w:rPr>
          <w:rFonts w:ascii="Calibri" w:hAnsi="Calibri" w:cs="Calibri"/>
          <w:sz w:val="22"/>
          <w:szCs w:val="22"/>
        </w:rPr>
        <w:t>for</w:t>
      </w:r>
      <w:r w:rsidR="3E84C76F" w:rsidRPr="0840C7FA">
        <w:rPr>
          <w:rFonts w:ascii="Calibri" w:hAnsi="Calibri" w:cs="Calibri"/>
          <w:sz w:val="22"/>
          <w:szCs w:val="22"/>
        </w:rPr>
        <w:t xml:space="preserve"> 2024 with</w:t>
      </w:r>
      <w:r w:rsidR="00A84345" w:rsidRPr="0840C7FA">
        <w:rPr>
          <w:rFonts w:ascii="Calibri" w:hAnsi="Calibri" w:cs="Calibri"/>
          <w:sz w:val="22"/>
          <w:szCs w:val="22"/>
        </w:rPr>
        <w:t xml:space="preserve"> </w:t>
      </w:r>
      <w:r w:rsidR="3E84C76F" w:rsidRPr="0840C7FA">
        <w:rPr>
          <w:rFonts w:ascii="Calibri" w:hAnsi="Calibri" w:cs="Calibri"/>
          <w:sz w:val="22"/>
          <w:szCs w:val="22"/>
        </w:rPr>
        <w:t>67.4% year-on-year growth</w:t>
      </w:r>
      <w:r w:rsidRPr="0840C7FA">
        <w:rPr>
          <w:rFonts w:ascii="Calibri" w:hAnsi="Calibri" w:cs="Calibri"/>
          <w:sz w:val="22"/>
          <w:szCs w:val="22"/>
        </w:rPr>
        <w:t>. The ESS markets within the US, Australia and China witnessed fierce growth, causing a steep upward revision of 19 percentage points compared</w:t>
      </w:r>
      <w:r w:rsidR="00C212F4" w:rsidRPr="0840C7FA">
        <w:rPr>
          <w:rFonts w:ascii="Calibri" w:hAnsi="Calibri" w:cs="Calibri"/>
          <w:sz w:val="22"/>
          <w:szCs w:val="22"/>
        </w:rPr>
        <w:t xml:space="preserve"> </w:t>
      </w:r>
      <w:r w:rsidR="00A87425" w:rsidRPr="0840C7FA">
        <w:rPr>
          <w:rFonts w:ascii="Calibri" w:hAnsi="Calibri" w:cs="Calibri"/>
          <w:sz w:val="22"/>
          <w:szCs w:val="22"/>
        </w:rPr>
        <w:t>with</w:t>
      </w:r>
      <w:r w:rsidRPr="0840C7FA">
        <w:rPr>
          <w:rFonts w:ascii="Calibri" w:hAnsi="Calibri" w:cs="Calibri"/>
          <w:sz w:val="22"/>
          <w:szCs w:val="22"/>
        </w:rPr>
        <w:t xml:space="preserve"> </w:t>
      </w:r>
      <w:r w:rsidR="004116F4" w:rsidRPr="0840C7FA">
        <w:rPr>
          <w:rFonts w:ascii="Calibri" w:hAnsi="Calibri" w:cs="Calibri"/>
          <w:sz w:val="22"/>
          <w:szCs w:val="22"/>
        </w:rPr>
        <w:t xml:space="preserve">the </w:t>
      </w:r>
      <w:r w:rsidRPr="0840C7FA">
        <w:rPr>
          <w:rFonts w:ascii="Calibri" w:hAnsi="Calibri" w:cs="Calibri"/>
          <w:sz w:val="22"/>
          <w:szCs w:val="22"/>
        </w:rPr>
        <w:t>September 2024</w:t>
      </w:r>
      <w:r w:rsidR="004116F4" w:rsidRPr="0840C7FA">
        <w:rPr>
          <w:rFonts w:ascii="Calibri" w:hAnsi="Calibri" w:cs="Calibri"/>
          <w:sz w:val="22"/>
          <w:szCs w:val="22"/>
        </w:rPr>
        <w:t xml:space="preserve"> report</w:t>
      </w:r>
      <w:r w:rsidRPr="0840C7FA">
        <w:rPr>
          <w:rFonts w:ascii="Calibri" w:hAnsi="Calibri" w:cs="Calibri"/>
          <w:sz w:val="22"/>
          <w:szCs w:val="22"/>
        </w:rPr>
        <w:t xml:space="preserve">. </w:t>
      </w:r>
    </w:p>
    <w:p w14:paraId="7D9520A6" w14:textId="10695E10" w:rsidR="00B023FB" w:rsidRDefault="00B023FB" w:rsidP="2FE8CBD4">
      <w:pPr>
        <w:spacing w:after="0" w:line="240" w:lineRule="auto"/>
        <w:rPr>
          <w:rFonts w:ascii="Calibri" w:hAnsi="Calibri" w:cs="Calibri"/>
          <w:sz w:val="22"/>
          <w:szCs w:val="22"/>
        </w:rPr>
      </w:pPr>
    </w:p>
    <w:p w14:paraId="54AEE43B" w14:textId="339CA8C8" w:rsidR="00B023FB" w:rsidRDefault="004116F4" w:rsidP="2FE8CBD4">
      <w:pPr>
        <w:spacing w:after="0" w:line="240" w:lineRule="auto"/>
        <w:rPr>
          <w:rFonts w:ascii="Calibri" w:eastAsia="Calibri" w:hAnsi="Calibri" w:cs="Calibri"/>
          <w:sz w:val="22"/>
          <w:szCs w:val="22"/>
        </w:rPr>
      </w:pPr>
      <w:r w:rsidRPr="0840C7FA">
        <w:rPr>
          <w:rFonts w:ascii="Calibri" w:hAnsi="Calibri" w:cs="Calibri"/>
          <w:sz w:val="22"/>
          <w:szCs w:val="22"/>
        </w:rPr>
        <w:t>I</w:t>
      </w:r>
      <w:r w:rsidR="1667151F" w:rsidRPr="0840C7FA">
        <w:rPr>
          <w:rFonts w:ascii="Calibri" w:hAnsi="Calibri" w:cs="Calibri"/>
          <w:sz w:val="22"/>
          <w:szCs w:val="22"/>
        </w:rPr>
        <w:t xml:space="preserve">n 2024, </w:t>
      </w:r>
      <w:r w:rsidR="1667151F" w:rsidRPr="0840C7FA">
        <w:rPr>
          <w:rFonts w:ascii="Calibri" w:eastAsia="Calibri" w:hAnsi="Calibri" w:cs="Calibri"/>
          <w:sz w:val="22"/>
          <w:szCs w:val="22"/>
        </w:rPr>
        <w:t xml:space="preserve">Australia solidified its leadership in energy storage development with a total of 35 GWh in planned projects, including a 19 GWh initiative designed to supply electricity to Singapore. </w:t>
      </w:r>
      <w:r w:rsidR="000C1978" w:rsidRPr="0840C7FA">
        <w:rPr>
          <w:rFonts w:ascii="Calibri" w:eastAsia="Calibri" w:hAnsi="Calibri" w:cs="Calibri"/>
          <w:sz w:val="22"/>
          <w:szCs w:val="22"/>
        </w:rPr>
        <w:t>Th</w:t>
      </w:r>
      <w:r w:rsidR="0B15875E" w:rsidRPr="0840C7FA">
        <w:rPr>
          <w:rFonts w:ascii="Calibri" w:eastAsia="Calibri" w:hAnsi="Calibri" w:cs="Calibri"/>
          <w:sz w:val="22"/>
          <w:szCs w:val="22"/>
        </w:rPr>
        <w:t>e US had 34 GWh of planned energy storage projects</w:t>
      </w:r>
      <w:r w:rsidR="000C1978" w:rsidRPr="0840C7FA">
        <w:rPr>
          <w:rFonts w:ascii="Calibri" w:eastAsia="Calibri" w:hAnsi="Calibri" w:cs="Calibri"/>
          <w:sz w:val="22"/>
          <w:szCs w:val="22"/>
        </w:rPr>
        <w:t xml:space="preserve"> </w:t>
      </w:r>
      <w:r w:rsidR="003A1D21" w:rsidRPr="0840C7FA">
        <w:rPr>
          <w:rFonts w:ascii="Calibri" w:eastAsia="Calibri" w:hAnsi="Calibri" w:cs="Calibri"/>
          <w:sz w:val="22"/>
          <w:szCs w:val="22"/>
        </w:rPr>
        <w:t>in 2024</w:t>
      </w:r>
      <w:r w:rsidR="0B15875E" w:rsidRPr="0840C7FA">
        <w:rPr>
          <w:rFonts w:ascii="Calibri" w:eastAsia="Calibri" w:hAnsi="Calibri" w:cs="Calibri"/>
          <w:sz w:val="22"/>
          <w:szCs w:val="22"/>
        </w:rPr>
        <w:t>, with 14.5 GWh already under construction</w:t>
      </w:r>
      <w:r w:rsidR="003A1D21" w:rsidRPr="0840C7FA">
        <w:rPr>
          <w:rFonts w:ascii="Calibri" w:eastAsia="Calibri" w:hAnsi="Calibri" w:cs="Calibri"/>
          <w:sz w:val="22"/>
          <w:szCs w:val="22"/>
        </w:rPr>
        <w:t>, while</w:t>
      </w:r>
      <w:r w:rsidR="0AB44012" w:rsidRPr="0840C7FA">
        <w:rPr>
          <w:rFonts w:ascii="Calibri" w:eastAsia="Calibri" w:hAnsi="Calibri" w:cs="Calibri"/>
          <w:sz w:val="22"/>
          <w:szCs w:val="22"/>
        </w:rPr>
        <w:t xml:space="preserve"> the total number of new energy storage installations </w:t>
      </w:r>
      <w:r w:rsidR="003A1D21" w:rsidRPr="0840C7FA">
        <w:rPr>
          <w:rFonts w:ascii="Calibri" w:eastAsia="Calibri" w:hAnsi="Calibri" w:cs="Calibri"/>
          <w:sz w:val="22"/>
          <w:szCs w:val="22"/>
        </w:rPr>
        <w:t xml:space="preserve">in China </w:t>
      </w:r>
      <w:r w:rsidR="0AB44012" w:rsidRPr="0840C7FA">
        <w:rPr>
          <w:rFonts w:ascii="Calibri" w:eastAsia="Calibri" w:hAnsi="Calibri" w:cs="Calibri"/>
          <w:sz w:val="22"/>
          <w:szCs w:val="22"/>
        </w:rPr>
        <w:t>surpassed pumped hydro st</w:t>
      </w:r>
      <w:r w:rsidR="11F7472A" w:rsidRPr="0840C7FA">
        <w:rPr>
          <w:rFonts w:ascii="Calibri" w:eastAsia="Calibri" w:hAnsi="Calibri" w:cs="Calibri"/>
          <w:sz w:val="22"/>
          <w:szCs w:val="22"/>
        </w:rPr>
        <w:t xml:space="preserve">orage (PHS) </w:t>
      </w:r>
      <w:r w:rsidR="022BE49E" w:rsidRPr="0840C7FA">
        <w:rPr>
          <w:rFonts w:ascii="Calibri" w:eastAsia="Calibri" w:hAnsi="Calibri" w:cs="Calibri"/>
          <w:sz w:val="22"/>
          <w:szCs w:val="22"/>
        </w:rPr>
        <w:t xml:space="preserve">installations </w:t>
      </w:r>
      <w:r w:rsidR="11F7472A" w:rsidRPr="0840C7FA">
        <w:rPr>
          <w:rFonts w:ascii="Calibri" w:eastAsia="Calibri" w:hAnsi="Calibri" w:cs="Calibri"/>
          <w:sz w:val="22"/>
          <w:szCs w:val="22"/>
        </w:rPr>
        <w:t>for the first time</w:t>
      </w:r>
      <w:r w:rsidR="7248A563" w:rsidRPr="0840C7FA">
        <w:rPr>
          <w:rFonts w:ascii="Calibri" w:eastAsia="Calibri" w:hAnsi="Calibri" w:cs="Calibri"/>
          <w:sz w:val="22"/>
          <w:szCs w:val="22"/>
        </w:rPr>
        <w:t>. This is significant as it signals a shift towards newer energy storage technologies</w:t>
      </w:r>
      <w:r w:rsidR="7D7B898A" w:rsidRPr="0840C7FA">
        <w:rPr>
          <w:rFonts w:ascii="Calibri" w:eastAsia="Calibri" w:hAnsi="Calibri" w:cs="Calibri"/>
          <w:sz w:val="22"/>
          <w:szCs w:val="22"/>
        </w:rPr>
        <w:t xml:space="preserve">. </w:t>
      </w:r>
    </w:p>
    <w:p w14:paraId="232EBD4D" w14:textId="77777777" w:rsidR="009E50C4" w:rsidRDefault="009E50C4" w:rsidP="00E84B09">
      <w:pPr>
        <w:spacing w:after="0" w:line="240" w:lineRule="auto"/>
        <w:rPr>
          <w:rFonts w:ascii="Calibri" w:hAnsi="Calibri" w:cs="Calibri"/>
          <w:sz w:val="22"/>
          <w:szCs w:val="22"/>
        </w:rPr>
      </w:pPr>
    </w:p>
    <w:p w14:paraId="61AEC76E" w14:textId="59FA7947" w:rsidR="00050169" w:rsidRDefault="00050169" w:rsidP="00E84B09">
      <w:pPr>
        <w:spacing w:after="0" w:line="240" w:lineRule="auto"/>
        <w:rPr>
          <w:rFonts w:ascii="Calibri" w:hAnsi="Calibri" w:cs="Calibri"/>
          <w:sz w:val="22"/>
          <w:szCs w:val="22"/>
        </w:rPr>
      </w:pPr>
      <w:r w:rsidRPr="0840C7FA">
        <w:rPr>
          <w:rFonts w:ascii="Calibri" w:hAnsi="Calibri" w:cs="Calibri"/>
          <w:b/>
          <w:bCs/>
          <w:sz w:val="22"/>
          <w:szCs w:val="22"/>
        </w:rPr>
        <w:t xml:space="preserve">Shirly Zhu, </w:t>
      </w:r>
      <w:r w:rsidR="00C3540B" w:rsidRPr="0840C7FA">
        <w:rPr>
          <w:rFonts w:ascii="Calibri" w:hAnsi="Calibri" w:cs="Calibri"/>
          <w:b/>
          <w:bCs/>
          <w:sz w:val="22"/>
          <w:szCs w:val="22"/>
        </w:rPr>
        <w:t>Principal</w:t>
      </w:r>
      <w:r w:rsidRPr="0840C7FA">
        <w:rPr>
          <w:rFonts w:ascii="Calibri" w:hAnsi="Calibri" w:cs="Calibri"/>
          <w:b/>
          <w:bCs/>
          <w:sz w:val="22"/>
          <w:szCs w:val="22"/>
        </w:rPr>
        <w:t xml:space="preserve"> Analyst at Interact Analysis</w:t>
      </w:r>
      <w:r w:rsidRPr="0840C7FA">
        <w:rPr>
          <w:rFonts w:ascii="Calibri" w:hAnsi="Calibri" w:cs="Calibri"/>
          <w:sz w:val="22"/>
          <w:szCs w:val="22"/>
        </w:rPr>
        <w:t>, commented: “</w:t>
      </w:r>
      <w:r w:rsidR="000578DE" w:rsidRPr="0840C7FA">
        <w:rPr>
          <w:rFonts w:ascii="Calibri" w:hAnsi="Calibri" w:cs="Calibri"/>
          <w:i/>
          <w:iCs/>
          <w:sz w:val="22"/>
          <w:szCs w:val="22"/>
        </w:rPr>
        <w:t>In accordance with our latest update, we expect sustained strong growth in the ESS market, driving demand and optimism within the Li-ion battery industry. While uncertainty in the electric vehicle sector, particularly in the U</w:t>
      </w:r>
      <w:r w:rsidR="0097618D" w:rsidRPr="0840C7FA">
        <w:rPr>
          <w:rFonts w:ascii="Calibri" w:hAnsi="Calibri" w:cs="Calibri"/>
          <w:i/>
          <w:iCs/>
          <w:sz w:val="22"/>
          <w:szCs w:val="22"/>
        </w:rPr>
        <w:t>S</w:t>
      </w:r>
      <w:r w:rsidR="000578DE" w:rsidRPr="0840C7FA">
        <w:rPr>
          <w:rFonts w:ascii="Calibri" w:hAnsi="Calibri" w:cs="Calibri"/>
          <w:i/>
          <w:iCs/>
          <w:sz w:val="22"/>
          <w:szCs w:val="22"/>
        </w:rPr>
        <w:t>, and instability among top battery equipment manufacturers led to downward revisions in several of our forecasts, we remain optimistic about the overall prospects</w:t>
      </w:r>
      <w:r w:rsidR="00067A01" w:rsidRPr="0840C7FA">
        <w:rPr>
          <w:rFonts w:ascii="Calibri" w:hAnsi="Calibri" w:cs="Calibri"/>
          <w:i/>
          <w:iCs/>
          <w:sz w:val="22"/>
          <w:szCs w:val="22"/>
        </w:rPr>
        <w:t xml:space="preserve"> for growth</w:t>
      </w:r>
      <w:r w:rsidR="000578DE" w:rsidRPr="0840C7FA">
        <w:rPr>
          <w:rFonts w:ascii="Calibri" w:hAnsi="Calibri" w:cs="Calibri"/>
          <w:i/>
          <w:iCs/>
          <w:sz w:val="22"/>
          <w:szCs w:val="22"/>
        </w:rPr>
        <w:t>.</w:t>
      </w:r>
      <w:r w:rsidR="000578DE" w:rsidRPr="0840C7FA">
        <w:rPr>
          <w:rFonts w:ascii="Calibri" w:hAnsi="Calibri" w:cs="Calibri"/>
          <w:sz w:val="22"/>
          <w:szCs w:val="22"/>
        </w:rPr>
        <w:t xml:space="preserve">” </w:t>
      </w:r>
    </w:p>
    <w:p w14:paraId="210B2C85" w14:textId="77777777" w:rsidR="009E50C4" w:rsidRDefault="009E50C4" w:rsidP="00E84B09">
      <w:pPr>
        <w:spacing w:after="0" w:line="240" w:lineRule="auto"/>
        <w:rPr>
          <w:rFonts w:ascii="Calibri" w:hAnsi="Calibri" w:cs="Calibri"/>
          <w:color w:val="FF0000"/>
          <w:sz w:val="22"/>
          <w:szCs w:val="22"/>
        </w:rPr>
      </w:pPr>
    </w:p>
    <w:p w14:paraId="26F93361" w14:textId="77777777" w:rsidR="00B023FB" w:rsidRDefault="00B023FB" w:rsidP="00E84B09">
      <w:pPr>
        <w:pStyle w:val="paragraph"/>
        <w:spacing w:before="0" w:beforeAutospacing="0" w:after="0" w:afterAutospacing="0"/>
        <w:contextualSpacing/>
        <w:textAlignment w:val="baseline"/>
        <w:rPr>
          <w:rStyle w:val="eop"/>
          <w:rFonts w:ascii="Calibri" w:eastAsiaTheme="majorEastAsia" w:hAnsi="Calibri" w:cs="Calibri"/>
          <w:sz w:val="22"/>
          <w:szCs w:val="22"/>
        </w:rPr>
      </w:pPr>
      <w:r w:rsidRPr="0000736B">
        <w:rPr>
          <w:rStyle w:val="normaltextrun"/>
          <w:rFonts w:ascii="Calibri" w:eastAsiaTheme="majorEastAsia" w:hAnsi="Calibri" w:cs="Calibri"/>
          <w:b/>
          <w:bCs/>
          <w:sz w:val="22"/>
          <w:szCs w:val="22"/>
          <w:lang w:val="en-US"/>
        </w:rPr>
        <w:t>About the Report: </w:t>
      </w:r>
      <w:r w:rsidRPr="0000736B">
        <w:rPr>
          <w:rStyle w:val="eop"/>
          <w:rFonts w:ascii="Calibri" w:eastAsiaTheme="majorEastAsia" w:hAnsi="Calibri" w:cs="Calibri"/>
          <w:sz w:val="22"/>
          <w:szCs w:val="22"/>
        </w:rPr>
        <w:t> </w:t>
      </w:r>
    </w:p>
    <w:p w14:paraId="3AF872AE" w14:textId="77777777" w:rsidR="0000736B" w:rsidRPr="0000736B" w:rsidRDefault="0000736B" w:rsidP="00E84B09">
      <w:pPr>
        <w:pStyle w:val="paragraph"/>
        <w:spacing w:before="0" w:beforeAutospacing="0" w:after="0" w:afterAutospacing="0"/>
        <w:contextualSpacing/>
        <w:textAlignment w:val="baseline"/>
        <w:rPr>
          <w:rStyle w:val="eop"/>
          <w:rFonts w:ascii="Calibri" w:eastAsiaTheme="majorEastAsia" w:hAnsi="Calibri" w:cs="Calibri"/>
          <w:sz w:val="22"/>
          <w:szCs w:val="22"/>
        </w:rPr>
      </w:pPr>
    </w:p>
    <w:p w14:paraId="53B7C069" w14:textId="77777777" w:rsidR="00CE55A2" w:rsidRPr="00CE55A2" w:rsidRDefault="00CE55A2" w:rsidP="0840C7FA">
      <w:pPr>
        <w:pStyle w:val="paragraph"/>
        <w:spacing w:before="0" w:beforeAutospacing="0" w:after="0" w:afterAutospacing="0"/>
        <w:contextualSpacing/>
        <w:rPr>
          <w:rFonts w:ascii="Calibri" w:hAnsi="Calibri" w:cs="Calibri"/>
          <w:sz w:val="22"/>
          <w:szCs w:val="22"/>
        </w:rPr>
      </w:pPr>
      <w:r w:rsidRPr="0840C7FA">
        <w:rPr>
          <w:rFonts w:ascii="Calibri" w:hAnsi="Calibri" w:cs="Calibri"/>
          <w:sz w:val="22"/>
          <w:szCs w:val="22"/>
        </w:rPr>
        <w:t>This report provides a deep-dive analysis of the li-ion battery supply chain, comprising:</w:t>
      </w:r>
    </w:p>
    <w:p w14:paraId="4B5D5469" w14:textId="790B82D0" w:rsidR="00CE55A2" w:rsidRPr="00CE55A2" w:rsidRDefault="00CE55A2" w:rsidP="00E84B09">
      <w:pPr>
        <w:pStyle w:val="paragraph"/>
        <w:numPr>
          <w:ilvl w:val="0"/>
          <w:numId w:val="2"/>
        </w:numPr>
        <w:spacing w:before="0" w:beforeAutospacing="0" w:after="0" w:afterAutospacing="0"/>
        <w:contextualSpacing/>
        <w:rPr>
          <w:rFonts w:ascii="Calibri" w:hAnsi="Calibri" w:cs="Calibri"/>
          <w:sz w:val="22"/>
          <w:szCs w:val="22"/>
        </w:rPr>
      </w:pPr>
      <w:r w:rsidRPr="00CE55A2">
        <w:rPr>
          <w:rFonts w:ascii="Calibri" w:hAnsi="Calibri" w:cs="Calibri"/>
          <w:sz w:val="22"/>
          <w:szCs w:val="22"/>
        </w:rPr>
        <w:t xml:space="preserve">Granular data analysis of Li-ion battery production and shipments, the end-user market landscape, supplier market shares and a </w:t>
      </w:r>
      <w:r w:rsidR="00320224" w:rsidRPr="00CE55A2">
        <w:rPr>
          <w:rFonts w:ascii="Calibri" w:hAnsi="Calibri" w:cs="Calibri"/>
          <w:sz w:val="22"/>
          <w:szCs w:val="22"/>
        </w:rPr>
        <w:t>highly detailed</w:t>
      </w:r>
      <w:r w:rsidRPr="00CE55A2">
        <w:rPr>
          <w:rFonts w:ascii="Calibri" w:hAnsi="Calibri" w:cs="Calibri"/>
          <w:sz w:val="22"/>
          <w:szCs w:val="22"/>
        </w:rPr>
        <w:t xml:space="preserve"> factory </w:t>
      </w:r>
      <w:proofErr w:type="gramStart"/>
      <w:r w:rsidRPr="00CE55A2">
        <w:rPr>
          <w:rFonts w:ascii="Calibri" w:hAnsi="Calibri" w:cs="Calibri"/>
          <w:sz w:val="22"/>
          <w:szCs w:val="22"/>
        </w:rPr>
        <w:t>database;</w:t>
      </w:r>
      <w:proofErr w:type="gramEnd"/>
    </w:p>
    <w:p w14:paraId="567C18EF" w14:textId="77777777" w:rsidR="00CE55A2" w:rsidRPr="00CE55A2" w:rsidRDefault="00CE55A2" w:rsidP="00E84B09">
      <w:pPr>
        <w:pStyle w:val="paragraph"/>
        <w:numPr>
          <w:ilvl w:val="0"/>
          <w:numId w:val="2"/>
        </w:numPr>
        <w:spacing w:before="0" w:beforeAutospacing="0" w:after="0" w:afterAutospacing="0"/>
        <w:contextualSpacing/>
        <w:rPr>
          <w:rFonts w:ascii="Calibri" w:hAnsi="Calibri" w:cs="Calibri"/>
          <w:sz w:val="22"/>
          <w:szCs w:val="22"/>
        </w:rPr>
      </w:pPr>
      <w:r w:rsidRPr="00CE55A2">
        <w:rPr>
          <w:rFonts w:ascii="Calibri" w:hAnsi="Calibri" w:cs="Calibri"/>
          <w:sz w:val="22"/>
          <w:szCs w:val="22"/>
        </w:rPr>
        <w:t>In-depth analysis of the lithium-ion battery manufacturing equipment market in different regions, as well as the equipment supplier landscape.</w:t>
      </w:r>
    </w:p>
    <w:p w14:paraId="1C878B7F" w14:textId="77777777" w:rsidR="00B023FB" w:rsidRPr="002464CB" w:rsidRDefault="00B023FB" w:rsidP="00E84B09">
      <w:pPr>
        <w:pStyle w:val="paragraph"/>
        <w:spacing w:before="0" w:beforeAutospacing="0" w:after="0" w:afterAutospacing="0"/>
        <w:contextualSpacing/>
        <w:textAlignment w:val="baseline"/>
        <w:rPr>
          <w:rStyle w:val="normaltextrun"/>
          <w:rFonts w:asciiTheme="majorHAnsi" w:eastAsiaTheme="majorEastAsia" w:hAnsiTheme="majorHAnsi" w:cstheme="majorHAnsi"/>
          <w:sz w:val="22"/>
          <w:szCs w:val="22"/>
          <w:lang w:val="en-US"/>
        </w:rPr>
      </w:pPr>
    </w:p>
    <w:p w14:paraId="16FF3AEA" w14:textId="68543E79" w:rsidR="00B023FB" w:rsidRPr="0000736B" w:rsidRDefault="00B023FB" w:rsidP="00E84B09">
      <w:pPr>
        <w:pStyle w:val="paragraph"/>
        <w:spacing w:before="0" w:beforeAutospacing="0" w:after="0" w:afterAutospacing="0"/>
        <w:contextualSpacing/>
        <w:textAlignment w:val="baseline"/>
        <w:rPr>
          <w:rStyle w:val="eop"/>
          <w:rFonts w:ascii="Calibri" w:eastAsiaTheme="majorEastAsia" w:hAnsi="Calibri" w:cs="Calibri"/>
          <w:sz w:val="22"/>
          <w:szCs w:val="22"/>
        </w:rPr>
      </w:pPr>
      <w:r w:rsidRPr="0000736B">
        <w:rPr>
          <w:rStyle w:val="normaltextrun"/>
          <w:rFonts w:ascii="Calibri" w:eastAsiaTheme="majorEastAsia" w:hAnsi="Calibri" w:cs="Calibri"/>
          <w:b/>
          <w:bCs/>
          <w:sz w:val="22"/>
          <w:szCs w:val="22"/>
        </w:rPr>
        <w:t>About Interact Analysis</w:t>
      </w:r>
      <w:r w:rsidR="0000736B">
        <w:rPr>
          <w:rStyle w:val="normaltextrun"/>
          <w:rFonts w:ascii="Calibri" w:eastAsiaTheme="majorEastAsia" w:hAnsi="Calibri" w:cs="Calibri"/>
          <w:b/>
          <w:bCs/>
          <w:sz w:val="22"/>
          <w:szCs w:val="22"/>
        </w:rPr>
        <w:t>:</w:t>
      </w:r>
      <w:r w:rsidRPr="0000736B">
        <w:rPr>
          <w:rStyle w:val="eop"/>
          <w:rFonts w:ascii="Calibri" w:eastAsiaTheme="majorEastAsia" w:hAnsi="Calibri" w:cs="Calibri"/>
          <w:sz w:val="22"/>
          <w:szCs w:val="22"/>
        </w:rPr>
        <w:t> </w:t>
      </w:r>
    </w:p>
    <w:p w14:paraId="5883EA30" w14:textId="77777777" w:rsidR="00B023FB" w:rsidRPr="0000736B" w:rsidRDefault="00B023FB" w:rsidP="00E84B09">
      <w:pPr>
        <w:pStyle w:val="paragraph"/>
        <w:spacing w:before="0" w:beforeAutospacing="0" w:after="0" w:afterAutospacing="0"/>
        <w:textAlignment w:val="baseline"/>
        <w:rPr>
          <w:rFonts w:ascii="Calibri" w:hAnsi="Calibri" w:cs="Calibri"/>
          <w:sz w:val="22"/>
          <w:szCs w:val="22"/>
        </w:rPr>
      </w:pPr>
    </w:p>
    <w:p w14:paraId="4BB5FA58" w14:textId="1F1A2B98" w:rsidR="00B023FB" w:rsidRPr="00B023FB" w:rsidRDefault="00B023FB" w:rsidP="0840C7FA">
      <w:pPr>
        <w:spacing w:after="0" w:line="240" w:lineRule="auto"/>
        <w:rPr>
          <w:rFonts w:ascii="Calibri" w:hAnsi="Calibri" w:cs="Calibri"/>
          <w:sz w:val="22"/>
          <w:szCs w:val="22"/>
          <w:lang w:val="en-US"/>
        </w:rPr>
      </w:pPr>
      <w:r w:rsidRPr="0840C7FA">
        <w:rPr>
          <w:rFonts w:ascii="Calibri" w:hAnsi="Calibri" w:cs="Calibri"/>
          <w:sz w:val="22"/>
          <w:szCs w:val="22"/>
        </w:rPr>
        <w:t>With over 200 years of combined experience, Interact Analysis is the market intelligence authority for global supply chain automation. Our research covers the entire automation value chain – from the technology used to automate factory production, through inventory storage and distribution channels, to the transportation of the finished goods. The world’s leading companies trust us to surface robust insights and opportunities for technology-driven growth. To learn more, visit: </w:t>
      </w:r>
      <w:r w:rsidRPr="0840C7FA">
        <w:rPr>
          <w:rFonts w:ascii="Calibri" w:eastAsia="Segoe UI" w:hAnsi="Calibri" w:cs="Calibri"/>
          <w:sz w:val="22"/>
          <w:szCs w:val="22"/>
        </w:rPr>
        <w:t xml:space="preserve"> </w:t>
      </w:r>
      <w:hyperlink r:id="rId9">
        <w:r w:rsidRPr="0840C7FA">
          <w:rPr>
            <w:rStyle w:val="Hyperlink"/>
            <w:rFonts w:ascii="Calibri" w:eastAsia="Segoe UI" w:hAnsi="Calibri" w:cs="Calibri"/>
            <w:sz w:val="22"/>
            <w:szCs w:val="22"/>
          </w:rPr>
          <w:t>www.InteractAnalysis.com</w:t>
        </w:r>
      </w:hyperlink>
    </w:p>
    <w:sectPr w:rsidR="00B023FB" w:rsidRPr="00B023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E6030"/>
    <w:multiLevelType w:val="hybridMultilevel"/>
    <w:tmpl w:val="C6D0A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24559C"/>
    <w:multiLevelType w:val="multilevel"/>
    <w:tmpl w:val="098A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735665">
    <w:abstractNumId w:val="0"/>
  </w:num>
  <w:num w:numId="2" w16cid:durableId="1602644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AD"/>
    <w:rsid w:val="0000736B"/>
    <w:rsid w:val="00007E57"/>
    <w:rsid w:val="00011433"/>
    <w:rsid w:val="000166F5"/>
    <w:rsid w:val="00050169"/>
    <w:rsid w:val="000578DE"/>
    <w:rsid w:val="00067A01"/>
    <w:rsid w:val="0008637A"/>
    <w:rsid w:val="000A29A2"/>
    <w:rsid w:val="000C1978"/>
    <w:rsid w:val="000C1A1D"/>
    <w:rsid w:val="00102CB3"/>
    <w:rsid w:val="00120A1D"/>
    <w:rsid w:val="0017780C"/>
    <w:rsid w:val="001D4915"/>
    <w:rsid w:val="00270A2D"/>
    <w:rsid w:val="002722C9"/>
    <w:rsid w:val="0029002F"/>
    <w:rsid w:val="002C4F54"/>
    <w:rsid w:val="002F239A"/>
    <w:rsid w:val="002F72CB"/>
    <w:rsid w:val="00301879"/>
    <w:rsid w:val="00305868"/>
    <w:rsid w:val="003063C4"/>
    <w:rsid w:val="00313E97"/>
    <w:rsid w:val="00320224"/>
    <w:rsid w:val="003353E9"/>
    <w:rsid w:val="00344785"/>
    <w:rsid w:val="003637D9"/>
    <w:rsid w:val="00374090"/>
    <w:rsid w:val="00390F42"/>
    <w:rsid w:val="003A169B"/>
    <w:rsid w:val="003A1D21"/>
    <w:rsid w:val="003A6BA8"/>
    <w:rsid w:val="003B5868"/>
    <w:rsid w:val="003D4610"/>
    <w:rsid w:val="004116F4"/>
    <w:rsid w:val="00450AD0"/>
    <w:rsid w:val="0046769D"/>
    <w:rsid w:val="004D12FB"/>
    <w:rsid w:val="004F64CD"/>
    <w:rsid w:val="005109CD"/>
    <w:rsid w:val="00537845"/>
    <w:rsid w:val="0058255B"/>
    <w:rsid w:val="005B3365"/>
    <w:rsid w:val="006200B8"/>
    <w:rsid w:val="006420DD"/>
    <w:rsid w:val="006620B9"/>
    <w:rsid w:val="00687712"/>
    <w:rsid w:val="00691F1E"/>
    <w:rsid w:val="006B62ED"/>
    <w:rsid w:val="006B63F2"/>
    <w:rsid w:val="006C2F1A"/>
    <w:rsid w:val="006C6799"/>
    <w:rsid w:val="006D4D3A"/>
    <w:rsid w:val="00727006"/>
    <w:rsid w:val="007419FE"/>
    <w:rsid w:val="0076120A"/>
    <w:rsid w:val="0077589D"/>
    <w:rsid w:val="007D6EC1"/>
    <w:rsid w:val="007E78F8"/>
    <w:rsid w:val="008203F5"/>
    <w:rsid w:val="0084490F"/>
    <w:rsid w:val="00864154"/>
    <w:rsid w:val="00864BBB"/>
    <w:rsid w:val="00870F7D"/>
    <w:rsid w:val="00884639"/>
    <w:rsid w:val="008958AD"/>
    <w:rsid w:val="008C77D7"/>
    <w:rsid w:val="008F3113"/>
    <w:rsid w:val="0095112C"/>
    <w:rsid w:val="0096018E"/>
    <w:rsid w:val="00960426"/>
    <w:rsid w:val="0097618D"/>
    <w:rsid w:val="0099303D"/>
    <w:rsid w:val="0099776D"/>
    <w:rsid w:val="009B29D7"/>
    <w:rsid w:val="009C1977"/>
    <w:rsid w:val="009E50C4"/>
    <w:rsid w:val="009E6025"/>
    <w:rsid w:val="009F2AE8"/>
    <w:rsid w:val="00A2042A"/>
    <w:rsid w:val="00A345BF"/>
    <w:rsid w:val="00A620C6"/>
    <w:rsid w:val="00A71811"/>
    <w:rsid w:val="00A71F7A"/>
    <w:rsid w:val="00A84345"/>
    <w:rsid w:val="00A87425"/>
    <w:rsid w:val="00AC21BF"/>
    <w:rsid w:val="00AD74F9"/>
    <w:rsid w:val="00AF1968"/>
    <w:rsid w:val="00B023FB"/>
    <w:rsid w:val="00B23C66"/>
    <w:rsid w:val="00B629AA"/>
    <w:rsid w:val="00B766FC"/>
    <w:rsid w:val="00BA5C1F"/>
    <w:rsid w:val="00C176B0"/>
    <w:rsid w:val="00C212F4"/>
    <w:rsid w:val="00C3540B"/>
    <w:rsid w:val="00C97A2B"/>
    <w:rsid w:val="00CE55A2"/>
    <w:rsid w:val="00D30485"/>
    <w:rsid w:val="00D56BBB"/>
    <w:rsid w:val="00D66A16"/>
    <w:rsid w:val="00D954E0"/>
    <w:rsid w:val="00E01EDF"/>
    <w:rsid w:val="00E024B4"/>
    <w:rsid w:val="00E84B09"/>
    <w:rsid w:val="00E924DD"/>
    <w:rsid w:val="00EA17DF"/>
    <w:rsid w:val="00EC7495"/>
    <w:rsid w:val="00ED1F8E"/>
    <w:rsid w:val="00ED471C"/>
    <w:rsid w:val="00ED5773"/>
    <w:rsid w:val="00EE1163"/>
    <w:rsid w:val="00F1045E"/>
    <w:rsid w:val="00F3274F"/>
    <w:rsid w:val="00F35A15"/>
    <w:rsid w:val="00F42362"/>
    <w:rsid w:val="00F45776"/>
    <w:rsid w:val="00F61DFF"/>
    <w:rsid w:val="00FC74CE"/>
    <w:rsid w:val="00FF6B69"/>
    <w:rsid w:val="01CB52EC"/>
    <w:rsid w:val="01D27607"/>
    <w:rsid w:val="022BE49E"/>
    <w:rsid w:val="0428A132"/>
    <w:rsid w:val="05F5D7B1"/>
    <w:rsid w:val="0840C7FA"/>
    <w:rsid w:val="0A57B381"/>
    <w:rsid w:val="0AB44012"/>
    <w:rsid w:val="0B15875E"/>
    <w:rsid w:val="0CE15D90"/>
    <w:rsid w:val="0D07E65F"/>
    <w:rsid w:val="0D18C6DC"/>
    <w:rsid w:val="0DA804F2"/>
    <w:rsid w:val="100AEB32"/>
    <w:rsid w:val="11F7472A"/>
    <w:rsid w:val="12172408"/>
    <w:rsid w:val="129EB15D"/>
    <w:rsid w:val="1667151F"/>
    <w:rsid w:val="171DB2DC"/>
    <w:rsid w:val="17E149E9"/>
    <w:rsid w:val="19FF3736"/>
    <w:rsid w:val="1E980435"/>
    <w:rsid w:val="2162FC5C"/>
    <w:rsid w:val="2642E93F"/>
    <w:rsid w:val="26445FA0"/>
    <w:rsid w:val="2C4CA34B"/>
    <w:rsid w:val="2CF51837"/>
    <w:rsid w:val="2DF7A09C"/>
    <w:rsid w:val="2F8C201D"/>
    <w:rsid w:val="2FE8CBD4"/>
    <w:rsid w:val="32E59405"/>
    <w:rsid w:val="341ED8E9"/>
    <w:rsid w:val="3AB3E1AF"/>
    <w:rsid w:val="3CEA7E95"/>
    <w:rsid w:val="3E7DA153"/>
    <w:rsid w:val="3E84C76F"/>
    <w:rsid w:val="3F0A8973"/>
    <w:rsid w:val="4190A81D"/>
    <w:rsid w:val="428AEB0C"/>
    <w:rsid w:val="44EA51C0"/>
    <w:rsid w:val="45F5181A"/>
    <w:rsid w:val="472F8B07"/>
    <w:rsid w:val="4C3E4879"/>
    <w:rsid w:val="4C4D2640"/>
    <w:rsid w:val="4D82CF90"/>
    <w:rsid w:val="4F2105D7"/>
    <w:rsid w:val="54C39C12"/>
    <w:rsid w:val="58648F8E"/>
    <w:rsid w:val="5EF5CEB1"/>
    <w:rsid w:val="6A588298"/>
    <w:rsid w:val="6A92B2D2"/>
    <w:rsid w:val="6C1895F5"/>
    <w:rsid w:val="6CCB42EC"/>
    <w:rsid w:val="6E4E812E"/>
    <w:rsid w:val="7248A563"/>
    <w:rsid w:val="75B29DF2"/>
    <w:rsid w:val="768FA749"/>
    <w:rsid w:val="76A75F12"/>
    <w:rsid w:val="7883903A"/>
    <w:rsid w:val="79E7C9A2"/>
    <w:rsid w:val="7D5DBE5C"/>
    <w:rsid w:val="7D7B89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1A344"/>
  <w15:chartTrackingRefBased/>
  <w15:docId w15:val="{371CDDAE-04FA-4C62-94F5-1A00079F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8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8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8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8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8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8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8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8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8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8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8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8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8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8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8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8AD"/>
    <w:rPr>
      <w:rFonts w:eastAsiaTheme="majorEastAsia" w:cstheme="majorBidi"/>
      <w:color w:val="272727" w:themeColor="text1" w:themeTint="D8"/>
    </w:rPr>
  </w:style>
  <w:style w:type="paragraph" w:styleId="Title">
    <w:name w:val="Title"/>
    <w:basedOn w:val="Normal"/>
    <w:next w:val="Normal"/>
    <w:link w:val="TitleChar"/>
    <w:uiPriority w:val="10"/>
    <w:qFormat/>
    <w:rsid w:val="00895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8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8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8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8AD"/>
    <w:pPr>
      <w:spacing w:before="160"/>
      <w:jc w:val="center"/>
    </w:pPr>
    <w:rPr>
      <w:i/>
      <w:iCs/>
      <w:color w:val="404040" w:themeColor="text1" w:themeTint="BF"/>
    </w:rPr>
  </w:style>
  <w:style w:type="character" w:customStyle="1" w:styleId="QuoteChar">
    <w:name w:val="Quote Char"/>
    <w:basedOn w:val="DefaultParagraphFont"/>
    <w:link w:val="Quote"/>
    <w:uiPriority w:val="29"/>
    <w:rsid w:val="008958AD"/>
    <w:rPr>
      <w:i/>
      <w:iCs/>
      <w:color w:val="404040" w:themeColor="text1" w:themeTint="BF"/>
    </w:rPr>
  </w:style>
  <w:style w:type="paragraph" w:styleId="ListParagraph">
    <w:name w:val="List Paragraph"/>
    <w:basedOn w:val="Normal"/>
    <w:uiPriority w:val="34"/>
    <w:qFormat/>
    <w:rsid w:val="008958AD"/>
    <w:pPr>
      <w:ind w:left="720"/>
      <w:contextualSpacing/>
    </w:pPr>
  </w:style>
  <w:style w:type="character" w:styleId="IntenseEmphasis">
    <w:name w:val="Intense Emphasis"/>
    <w:basedOn w:val="DefaultParagraphFont"/>
    <w:uiPriority w:val="21"/>
    <w:qFormat/>
    <w:rsid w:val="008958AD"/>
    <w:rPr>
      <w:i/>
      <w:iCs/>
      <w:color w:val="0F4761" w:themeColor="accent1" w:themeShade="BF"/>
    </w:rPr>
  </w:style>
  <w:style w:type="paragraph" w:styleId="IntenseQuote">
    <w:name w:val="Intense Quote"/>
    <w:basedOn w:val="Normal"/>
    <w:next w:val="Normal"/>
    <w:link w:val="IntenseQuoteChar"/>
    <w:uiPriority w:val="30"/>
    <w:qFormat/>
    <w:rsid w:val="00895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8AD"/>
    <w:rPr>
      <w:i/>
      <w:iCs/>
      <w:color w:val="0F4761" w:themeColor="accent1" w:themeShade="BF"/>
    </w:rPr>
  </w:style>
  <w:style w:type="character" w:styleId="IntenseReference">
    <w:name w:val="Intense Reference"/>
    <w:basedOn w:val="DefaultParagraphFont"/>
    <w:uiPriority w:val="32"/>
    <w:qFormat/>
    <w:rsid w:val="008958AD"/>
    <w:rPr>
      <w:b/>
      <w:bCs/>
      <w:smallCaps/>
      <w:color w:val="0F4761" w:themeColor="accent1" w:themeShade="BF"/>
      <w:spacing w:val="5"/>
    </w:rPr>
  </w:style>
  <w:style w:type="character" w:customStyle="1" w:styleId="normaltextrun">
    <w:name w:val="normaltextrun"/>
    <w:basedOn w:val="DefaultParagraphFont"/>
    <w:rsid w:val="00B023FB"/>
  </w:style>
  <w:style w:type="character" w:styleId="Hyperlink">
    <w:name w:val="Hyperlink"/>
    <w:basedOn w:val="DefaultParagraphFont"/>
    <w:uiPriority w:val="99"/>
    <w:unhideWhenUsed/>
    <w:rsid w:val="00B023FB"/>
    <w:rPr>
      <w:color w:val="467886" w:themeColor="hyperlink"/>
      <w:u w:val="single"/>
    </w:rPr>
  </w:style>
  <w:style w:type="paragraph" w:customStyle="1" w:styleId="paragraph">
    <w:name w:val="paragraph"/>
    <w:basedOn w:val="Normal"/>
    <w:rsid w:val="00B023F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B023FB"/>
  </w:style>
  <w:style w:type="character" w:styleId="CommentReference">
    <w:name w:val="annotation reference"/>
    <w:basedOn w:val="DefaultParagraphFont"/>
    <w:uiPriority w:val="99"/>
    <w:semiHidden/>
    <w:unhideWhenUsed/>
    <w:rsid w:val="005109CD"/>
    <w:rPr>
      <w:sz w:val="16"/>
      <w:szCs w:val="16"/>
    </w:rPr>
  </w:style>
  <w:style w:type="paragraph" w:styleId="CommentText">
    <w:name w:val="annotation text"/>
    <w:basedOn w:val="Normal"/>
    <w:link w:val="CommentTextChar"/>
    <w:uiPriority w:val="99"/>
    <w:unhideWhenUsed/>
    <w:rsid w:val="005109CD"/>
    <w:pPr>
      <w:spacing w:line="240" w:lineRule="auto"/>
    </w:pPr>
    <w:rPr>
      <w:sz w:val="20"/>
      <w:szCs w:val="20"/>
    </w:rPr>
  </w:style>
  <w:style w:type="character" w:customStyle="1" w:styleId="CommentTextChar">
    <w:name w:val="Comment Text Char"/>
    <w:basedOn w:val="DefaultParagraphFont"/>
    <w:link w:val="CommentText"/>
    <w:uiPriority w:val="99"/>
    <w:rsid w:val="005109CD"/>
    <w:rPr>
      <w:sz w:val="20"/>
      <w:szCs w:val="20"/>
    </w:rPr>
  </w:style>
  <w:style w:type="paragraph" w:styleId="CommentSubject">
    <w:name w:val="annotation subject"/>
    <w:basedOn w:val="CommentText"/>
    <w:next w:val="CommentText"/>
    <w:link w:val="CommentSubjectChar"/>
    <w:uiPriority w:val="99"/>
    <w:semiHidden/>
    <w:unhideWhenUsed/>
    <w:rsid w:val="005109CD"/>
    <w:rPr>
      <w:b/>
      <w:bCs/>
    </w:rPr>
  </w:style>
  <w:style w:type="character" w:customStyle="1" w:styleId="CommentSubjectChar">
    <w:name w:val="Comment Subject Char"/>
    <w:basedOn w:val="CommentTextChar"/>
    <w:link w:val="CommentSubject"/>
    <w:uiPriority w:val="99"/>
    <w:semiHidden/>
    <w:rsid w:val="005109CD"/>
    <w:rPr>
      <w:b/>
      <w:bCs/>
      <w:sz w:val="20"/>
      <w:szCs w:val="20"/>
    </w:rPr>
  </w:style>
  <w:style w:type="paragraph" w:styleId="Revision">
    <w:name w:val="Revision"/>
    <w:hidden/>
    <w:uiPriority w:val="99"/>
    <w:semiHidden/>
    <w:rsid w:val="00FF6B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113864">
      <w:bodyDiv w:val="1"/>
      <w:marLeft w:val="0"/>
      <w:marRight w:val="0"/>
      <w:marTop w:val="0"/>
      <w:marBottom w:val="0"/>
      <w:divBdr>
        <w:top w:val="none" w:sz="0" w:space="0" w:color="auto"/>
        <w:left w:val="none" w:sz="0" w:space="0" w:color="auto"/>
        <w:bottom w:val="none" w:sz="0" w:space="0" w:color="auto"/>
        <w:right w:val="none" w:sz="0" w:space="0" w:color="auto"/>
      </w:divBdr>
    </w:div>
    <w:div w:id="174013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nteractanalysi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393a4a-43be-427a-ae67-ab472b3759f7"/>
    <lcf76f155ced4ddcb4097134ff3c332f xmlns="c6936b9c-b394-490f-b447-d49d93591a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1E6534FABCC549B2749FF11264572C" ma:contentTypeVersion="18" ma:contentTypeDescription="Create a new document." ma:contentTypeScope="" ma:versionID="5c0f4c7ba23cec0355049e54e18597f9">
  <xsd:schema xmlns:xsd="http://www.w3.org/2001/XMLSchema" xmlns:xs="http://www.w3.org/2001/XMLSchema" xmlns:p="http://schemas.microsoft.com/office/2006/metadata/properties" xmlns:ns2="c6936b9c-b394-490f-b447-d49d93591ad7" xmlns:ns3="30393a4a-43be-427a-ae67-ab472b3759f7" targetNamespace="http://schemas.microsoft.com/office/2006/metadata/properties" ma:root="true" ma:fieldsID="8489a6e5db20aa44965c9e83c7af68b0" ns2:_="" ns3:_="">
    <xsd:import namespace="c6936b9c-b394-490f-b447-d49d93591ad7"/>
    <xsd:import namespace="30393a4a-43be-427a-ae67-ab472b3759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36b9c-b394-490f-b447-d49d93591ad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75fe94-d2d1-4028-bac2-67d79592ccc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393a4a-43be-427a-ae67-ab472b3759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62a6bf-d3a3-4d9a-ac06-4228acccb2bb}" ma:internalName="TaxCatchAll" ma:showField="CatchAllData" ma:web="30393a4a-43be-427a-ae67-ab472b375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332AE0-1DFE-4F7D-8917-A2C4EF7EE072}">
  <ds:schemaRefs>
    <ds:schemaRef ds:uri="http://schemas.microsoft.com/office/2006/metadata/properties"/>
    <ds:schemaRef ds:uri="http://schemas.microsoft.com/office/infopath/2007/PartnerControls"/>
    <ds:schemaRef ds:uri="30393a4a-43be-427a-ae67-ab472b3759f7"/>
    <ds:schemaRef ds:uri="c6936b9c-b394-490f-b447-d49d93591ad7"/>
  </ds:schemaRefs>
</ds:datastoreItem>
</file>

<file path=customXml/itemProps2.xml><?xml version="1.0" encoding="utf-8"?>
<ds:datastoreItem xmlns:ds="http://schemas.openxmlformats.org/officeDocument/2006/customXml" ds:itemID="{D82BFC23-7790-46CD-9E68-A286C24ED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36b9c-b394-490f-b447-d49d93591ad7"/>
    <ds:schemaRef ds:uri="30393a4a-43be-427a-ae67-ab472b375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09D21C-ED06-43E4-A647-AEA3565DB8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716</Words>
  <Characters>4085</Characters>
  <Application>Microsoft Office Word</Application>
  <DocSecurity>0</DocSecurity>
  <Lines>34</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Oyin Fakunle</dc:creator>
  <cp:keywords/>
  <dc:description/>
  <cp:lastModifiedBy>Theresa Haworth</cp:lastModifiedBy>
  <cp:revision>3</cp:revision>
  <dcterms:created xsi:type="dcterms:W3CDTF">2025-03-28T10:52:00Z</dcterms:created>
  <dcterms:modified xsi:type="dcterms:W3CDTF">2025-03-28T10:55:00Z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0x010100471E6534FABCC549B2749FF11264572C</vt:lpwstr>
  </property>
  <property fmtid="{D5CDD505-2E9C-101B-9397-08002B2CF9AE}" pid="3" name="MediaServiceImageTags">
    <vt:lpwstr/>
  </property>
</Properties>
</file>